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rPr>
      </w:pPr>
      <w:r>
        <w:rPr>
          <w:rFonts w:hint="eastAsia"/>
        </w:rPr>
      </w:r>
      <w:r/>
    </w:p>
    <w:p>
      <w:pPr>
        <w:rPr>
          <w:rFonts w:hint="eastAsia" w:eastAsia="宋体"/>
          <w:lang w:eastAsia="zh-CN"/>
        </w:rPr>
      </w:pPr>
      <w:r>
        <w:rPr>
          <w:rFonts w:hint="eastAsia" w:eastAsia="宋体"/>
          <w:lang w:eastAsia="zh-CN"/>
        </w:rPr>
      </w:r>
      <w:r/>
    </w:p>
    <w:p>
      <w:r/>
      <w:r/>
    </w:p>
    <w:p>
      <w:pPr>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ind w:firstLine="1506"/>
        <w:rPr>
          <w:rFonts w:hint="eastAsia" w:ascii="Times New Roman" w:hAnsi="Times New Roman" w:eastAsia="宋体" w:cs="宋体"/>
          <w:b/>
          <w:sz w:val="30"/>
          <w:szCs w:val="30"/>
          <w:lang w:eastAsia="zh-CN" w:bidi="ar"/>
        </w:rPr>
      </w:pPr>
      <w:r>
        <w:rPr>
          <w:rFonts w:hint="eastAsia" w:ascii="Times New Roman" w:hAnsi="Times New Roman" w:eastAsia="宋体" w:cs="宋体"/>
          <w:b/>
          <w:sz w:val="30"/>
          <w:szCs w:val="30"/>
          <w:lang w:bidi="ar"/>
        </w:rPr>
        <w:t xml:space="preserve">项目名称：</w:t>
      </w:r>
      <w:r>
        <w:rPr>
          <w:rFonts w:hint="eastAsia" w:ascii="Times New Roman" w:hAnsi="Times New Roman" w:cs="宋体"/>
          <w:b/>
          <w:sz w:val="30"/>
          <w:szCs w:val="30"/>
          <w:lang w:eastAsia="zh-CN" w:bidi="ar"/>
        </w:rPr>
        <w:t xml:space="preserve">交管支队2026-2027年度涉案车辆拖移保管服务采购项目</w:t>
      </w:r>
      <w:r/>
    </w:p>
    <w:p>
      <w:pPr>
        <w:ind w:firstLine="1506"/>
        <w:rPr>
          <w:rFonts w:hint="eastAsia" w:ascii="Times New Roman" w:hAnsi="Times New Roman" w:eastAsia="宋体" w:cs="宋体"/>
          <w:b/>
          <w:sz w:val="30"/>
          <w:szCs w:val="30"/>
          <w:lang w:bidi="ar"/>
        </w:rPr>
      </w:pPr>
      <w:r>
        <w:rPr>
          <w:rFonts w:hint="eastAsia" w:ascii="Times New Roman" w:hAnsi="Times New Roman" w:eastAsia="宋体" w:cs="宋体"/>
          <w:b/>
          <w:sz w:val="30"/>
          <w:szCs w:val="30"/>
          <w:lang w:bidi="ar"/>
        </w:rPr>
      </w:r>
      <w:r/>
    </w:p>
    <w:p>
      <w:pPr>
        <w:ind w:firstLine="1506"/>
        <w:rPr>
          <w:rFonts w:hint="eastAsia" w:ascii="Times New Roman" w:hAnsi="Times New Roman" w:eastAsia="宋体" w:cs="宋体"/>
          <w:b/>
          <w:sz w:val="30"/>
          <w:szCs w:val="30"/>
          <w:lang w:bidi="ar"/>
        </w:rPr>
      </w:pPr>
      <w:r>
        <w:rPr>
          <w:rFonts w:hint="eastAsia" w:ascii="Times New Roman" w:hAnsi="Times New Roman" w:eastAsia="宋体" w:cs="宋体"/>
          <w:b/>
          <w:sz w:val="30"/>
          <w:szCs w:val="30"/>
          <w:lang w:bidi="ar"/>
        </w:rPr>
        <w:t xml:space="preserve">项目编号：</w:t>
      </w:r>
      <w:r>
        <w:rPr>
          <w:rFonts w:hint="eastAsia" w:ascii="Times New Roman" w:hAnsi="Times New Roman" w:cs="宋体"/>
          <w:b/>
          <w:sz w:val="30"/>
          <w:szCs w:val="30"/>
          <w:lang w:eastAsia="zh-CN" w:bidi="ar"/>
        </w:rPr>
        <w:t xml:space="preserve">JSZC-321300-SQTY-G2026-0013</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rFonts w:hint="eastAsia" w:eastAsia="宋体"/>
          <w:b/>
          <w:sz w:val="28"/>
          <w:szCs w:val="28"/>
          <w:lang w:eastAsia="zh-CN"/>
        </w:rPr>
      </w:pPr>
      <w:r>
        <w:rPr>
          <w:rFonts w:hint="eastAsia" w:eastAsia="宋体"/>
          <w:b/>
          <w:sz w:val="28"/>
          <w:szCs w:val="28"/>
          <w:lang w:eastAsia="zh-CN"/>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Style w:val="78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采购人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sz w:val="24"/>
                <w:szCs w:val="24"/>
                <w:highlight w:val="none"/>
                <w:lang w:val="en-US" w:eastAsia="zh-CN"/>
              </w:rPr>
            </w:pPr>
            <w:r>
              <w:rPr>
                <w:rFonts w:hint="eastAsia" w:ascii="Times New Roman" w:hAnsi="Times New Roman" w:eastAsia="宋体" w:cs="Times New Roman"/>
                <w:b/>
                <w:bCs/>
                <w:sz w:val="32"/>
                <w:szCs w:val="24"/>
                <w:highlight w:val="none"/>
                <w:lang w:val="en-US" w:eastAsia="zh-CN"/>
              </w:rPr>
              <w:t xml:space="preserve">宿迁市公安局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sz w:val="24"/>
                <w:szCs w:val="24"/>
                <w:highlight w:val="none"/>
                <w:lang w:eastAsia="zh-CN"/>
              </w:rPr>
            </w:pPr>
            <w:r>
              <w:rPr>
                <w:rFonts w:hint="eastAsia" w:ascii="Times New Roman" w:hAnsi="Times New Roman"/>
                <w:b/>
                <w:bCs/>
                <w:sz w:val="32"/>
                <w:szCs w:val="24"/>
                <w:highlight w:val="none"/>
                <w:lang w:eastAsia="zh-CN"/>
              </w:rPr>
              <w:t xml:space="preserve">宿迁泰元建设管理咨询有限公司</w:t>
            </w:r>
            <w:r/>
          </w:p>
        </w:tc>
      </w:tr>
    </w:tbl>
    <w:p>
      <w:pPr>
        <w:jc w:val="left"/>
        <w:spacing w:line="360" w:lineRule="auto"/>
        <w:rPr>
          <w:rFonts w:ascii="宋体" w:hAnsi="宋体" w:cs="宋体"/>
          <w:sz w:val="24"/>
          <w:szCs w:val="24"/>
        </w:rPr>
      </w:pPr>
      <w:r>
        <w:rPr>
          <w:rFonts w:ascii="宋体" w:hAnsi="宋体" w:cs="宋体"/>
          <w:sz w:val="24"/>
          <w:szCs w:val="24"/>
        </w:rPr>
      </w:r>
      <w:r/>
    </w:p>
    <w:p>
      <w:pPr>
        <w:ind w:firstLine="964"/>
        <w:jc w:val="left"/>
        <w:spacing w:before="120" w:after="120" w:line="360" w:lineRule="auto"/>
        <w:rPr>
          <w:rFonts w:hint="eastAsia" w:ascii="Arial" w:hAnsi="Arial" w:eastAsia="宋体"/>
          <w:b/>
          <w:sz w:val="32"/>
          <w:szCs w:val="24"/>
          <w:lang w:eastAsia="zh-CN"/>
        </w:rPr>
      </w:pPr>
      <w:r>
        <w:rPr>
          <w:rFonts w:hint="eastAsia" w:ascii="Arial" w:hAnsi="Arial" w:eastAsia="宋体"/>
          <w:b/>
          <w:sz w:val="32"/>
          <w:szCs w:val="24"/>
          <w:lang w:eastAsia="zh-CN"/>
        </w:rPr>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hint="eastAsia" w:ascii="Arial" w:hAnsi="Arial" w:cs="宋体"/>
          <w:b/>
          <w:sz w:val="32"/>
          <w:szCs w:val="24"/>
          <w:lang w:val="en-US" w:eastAsia="zh-CN" w:bidi="ar"/>
        </w:rPr>
        <w:t xml:space="preserve">8</w:t>
      </w:r>
      <w:r>
        <w:rPr>
          <w:rFonts w:hint="eastAsia" w:ascii="Arial" w:hAnsi="Arial" w:cs="宋体"/>
          <w:b/>
          <w:sz w:val="32"/>
          <w:szCs w:val="24"/>
          <w:lang w:bidi="ar"/>
        </w:rPr>
        <w:t xml:space="preserve">月</w:t>
      </w:r>
      <w:r>
        <w:rPr>
          <w:rFonts w:hint="eastAsia" w:ascii="Arial" w:hAnsi="Arial" w:cs="宋体"/>
          <w:b/>
          <w:sz w:val="32"/>
          <w:szCs w:val="24"/>
          <w:lang w:bidi="ar"/>
        </w:rPr>
        <w:t xml:space="preserve">7日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目录</w:t>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43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70"/>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55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0" w:name="_Toc81575189"/>
      <w:r/>
      <w:bookmarkStart w:id="1" w:name="_Toc81575152"/>
      <w:r/>
      <w:r/>
    </w:p>
    <w:p>
      <w:pPr>
        <w:pStyle w:val="813"/>
        <w:jc w:val="center"/>
        <w:spacing w:before="200"/>
        <w:rPr>
          <w:rFonts w:hint="eastAsia" w:eastAsia="黑体"/>
          <w:sz w:val="44"/>
        </w:rPr>
      </w:pPr>
      <w:r/>
      <w:bookmarkStart w:id="2" w:name="_Toc12738"/>
      <w:r/>
      <w:bookmarkStart w:id="3" w:name="_Toc25722"/>
      <w:r/>
      <w:bookmarkStart w:id="4" w:name="_Toc30943"/>
      <w:r>
        <w:rPr>
          <w:rFonts w:hint="eastAsia" w:eastAsia="黑体"/>
          <w:sz w:val="44"/>
        </w:rPr>
        <w:t xml:space="preserve">第一章投标邀请</w:t>
      </w:r>
      <w:bookmarkEnd w:id="0"/>
      <w:r/>
      <w:bookmarkEnd w:id="1"/>
      <w:r/>
      <w:bookmarkEnd w:id="2"/>
      <w:r/>
      <w:bookmarkEnd w:id="3"/>
      <w:r/>
      <w:bookmarkEnd w:id="4"/>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val="en-US" w:eastAsia="zh-CN"/>
        </w:rPr>
        <w:t xml:space="preserve">宿迁市公安局</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lang w:eastAsia="zh-CN"/>
        </w:rPr>
        <w:t xml:space="preserve">宿迁泰元建设管理咨询有限公司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u w:val="single"/>
          <w:lang w:eastAsia="zh-CN"/>
        </w:rPr>
        <w:t xml:space="preserve">交管支队2026-2027年度涉案车辆拖移保管服务采购项目</w:t>
      </w: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eastAsia="zh-CN"/>
        </w:rPr>
        <w:t xml:space="preserve">JSZC-321300-SQTY-G2026-0013</w:t>
      </w:r>
      <w:r>
        <w:rPr>
          <w:rFonts w:hint="eastAsia" w:ascii="宋体" w:hAnsi="宋体" w:eastAsia="宋体" w:cs="宋体"/>
          <w:sz w:val="24"/>
          <w:szCs w:val="24"/>
          <w:highlight w:val="none"/>
        </w:rPr>
        <w:t xml:space="preserve">)进行</w:t>
      </w:r>
      <w:r>
        <w:rPr>
          <w:rFonts w:hint="eastAsia" w:ascii="宋体" w:hAnsi="宋体" w:eastAsia="宋体" w:cs="宋体"/>
          <w:sz w:val="24"/>
          <w:szCs w:val="24"/>
        </w:rPr>
        <w:t xml:space="preserve">公开招标采购，欢迎符合条件的投标人投标。</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8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交管支队2026-2027年度涉案车辆拖移保管服务采购项目</w:t>
      </w:r>
      <w:r>
        <w:rPr>
          <w:rFonts w:hint="eastAsia" w:ascii="宋体" w:hAnsi="宋体" w:eastAsia="宋体" w:cs="宋体"/>
          <w:sz w:val="24"/>
          <w:szCs w:val="24"/>
          <w:highlight w:val="none"/>
        </w:rPr>
        <w:t xml:space="preserve">招</w:t>
      </w:r>
      <w:r>
        <w:rPr>
          <w:rFonts w:hint="eastAsia" w:ascii="宋体" w:hAnsi="宋体" w:eastAsia="宋体" w:cs="宋体"/>
          <w:sz w:val="24"/>
          <w:szCs w:val="24"/>
        </w:rPr>
        <w:t xml:space="preserve">标项目的潜在投标人可在“江苏政府采购网”、</w:t>
      </w:r>
      <w:r>
        <w:rPr>
          <w:rFonts w:hint="eastAsia" w:ascii="宋体" w:hAnsi="宋体" w:eastAsia="宋体" w:cs="宋体"/>
          <w:sz w:val="24"/>
          <w:szCs w:val="24"/>
          <w:u w:val="single"/>
        </w:rPr>
        <w:t xml:space="preserve">“宿迁市政府采购网”自行免费</w:t>
      </w:r>
      <w:r>
        <w:rPr>
          <w:rFonts w:hint="eastAsia" w:ascii="宋体" w:hAnsi="宋体" w:eastAsia="宋体" w:cs="宋体"/>
          <w:sz w:val="24"/>
          <w:szCs w:val="24"/>
        </w:rPr>
        <w:t xml:space="preserve">获取招标文件，并于2026年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31</w:t>
      </w:r>
      <w:r>
        <w:rPr>
          <w:rFonts w:hint="eastAsia" w:ascii="宋体" w:hAnsi="宋体" w:eastAsia="宋体" w:cs="宋体"/>
          <w:sz w:val="24"/>
          <w:szCs w:val="24"/>
        </w:rPr>
        <w:t xml:space="preserve">日09点30分（北京时间）前递交投标文件。</w:t>
      </w:r>
      <w:r/>
    </w:p>
    <w:p>
      <w:pPr>
        <w:pStyle w:val="814"/>
        <w:ind w:firstLine="643"/>
        <w:spacing w:before="0" w:after="0" w:line="480" w:lineRule="exact"/>
        <w:rPr>
          <w:rFonts w:hint="eastAsia" w:ascii="宋体" w:hAnsi="宋体" w:eastAsia="宋体" w:cs="宋体"/>
          <w:bCs/>
          <w:szCs w:val="22"/>
        </w:rPr>
      </w:pPr>
      <w:r/>
      <w:bookmarkStart w:id="5" w:name="_Toc2584"/>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eastAsia="宋体" w:cs="宋体"/>
          <w:bCs/>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JSZC-321300-SQTY-G2026-0013</w:t>
      </w:r>
      <w:r/>
    </w:p>
    <w:p>
      <w:pPr>
        <w:ind w:firstLine="48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bookmarkEnd w:id="11"/>
      <w:r>
        <w:rPr>
          <w:rFonts w:hint="eastAsia" w:ascii="宋体" w:hAnsi="宋体" w:cs="宋体"/>
          <w:sz w:val="24"/>
          <w:szCs w:val="24"/>
          <w:highlight w:val="none"/>
          <w:lang w:eastAsia="zh-CN"/>
        </w:rPr>
        <w:t xml:space="preserve">交管支队2026-2027年度涉案车辆拖移保管服务采购项目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3.预算金额：</w:t>
      </w:r>
      <w:r>
        <w:rPr>
          <w:rFonts w:hint="eastAsia" w:ascii="宋体" w:hAnsi="宋体" w:cs="宋体"/>
          <w:sz w:val="24"/>
          <w:szCs w:val="24"/>
          <w:lang w:val="en-US" w:eastAsia="zh-CN"/>
        </w:rPr>
        <w:t xml:space="preserve">649.5万元</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4.最高限价为</w:t>
      </w:r>
      <w:r>
        <w:rPr>
          <w:rFonts w:hint="eastAsia" w:ascii="宋体" w:hAnsi="宋体" w:eastAsia="宋体" w:cs="宋体"/>
          <w:sz w:val="24"/>
        </w:rPr>
        <w:t xml:space="preserve">：</w:t>
      </w:r>
      <w:bookmarkStart w:id="12" w:name="EB6c1f3d39c6914ae1bada8ccaa777b37a"/>
      <w:r>
        <w:rPr>
          <w:rFonts w:hint="eastAsia" w:ascii="宋体" w:hAnsi="宋体" w:cs="宋体"/>
          <w:sz w:val="24"/>
          <w:szCs w:val="24"/>
          <w:lang w:val="en-US" w:eastAsia="zh-CN"/>
        </w:rPr>
        <w:t xml:space="preserve">649.5万元</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本项目按投标费率（折扣）报价，投标折扣以%为单位，最高不得超过100%进行报价，结算价款按实际发生的费用*中标折扣。</w:t>
      </w:r>
      <w:bookmarkEnd w:id="12"/>
      <w:r/>
      <w:r/>
    </w:p>
    <w:p>
      <w:pPr>
        <w:ind w:firstLine="480"/>
        <w:spacing w:line="480" w:lineRule="exact"/>
        <w:rPr>
          <w:rFonts w:hint="eastAsia" w:ascii="Times New Roman" w:hAnsi="Times New Roman" w:cs="仿宋"/>
          <w:sz w:val="24"/>
          <w:szCs w:val="24"/>
          <w:lang w:val="en-US" w:eastAsia="zh-CN"/>
        </w:rPr>
      </w:pPr>
      <w:r>
        <w:rPr>
          <w:rFonts w:hint="eastAsia" w:ascii="宋体" w:hAnsi="宋体" w:eastAsia="宋体" w:cs="宋体"/>
          <w:sz w:val="24"/>
          <w:szCs w:val="24"/>
        </w:rPr>
        <w:t xml:space="preserve">5.采购需求（简介）：</w:t>
      </w:r>
      <w:r>
        <w:rPr>
          <w:rFonts w:hint="eastAsia" w:ascii="Times New Roman" w:hAnsi="Times New Roman" w:cs="仿宋"/>
          <w:sz w:val="24"/>
          <w:szCs w:val="24"/>
          <w:lang w:val="en-US" w:eastAsia="zh-CN"/>
        </w:rPr>
        <w:t xml:space="preserve">主城区区域、宿豫区区域、洋河新区区域</w:t>
      </w:r>
      <w:r>
        <w:rPr>
          <w:rFonts w:hint="eastAsia" w:ascii="Times New Roman" w:hAnsi="Times New Roman" w:eastAsia="宋体" w:cs="仿宋"/>
          <w:sz w:val="24"/>
          <w:szCs w:val="24"/>
          <w:lang w:val="en-US" w:eastAsia="zh-CN"/>
        </w:rPr>
        <w:t xml:space="preserve">交通违法、交通事故等涉案车辆拖移、停放保管服务</w:t>
      </w:r>
      <w:r>
        <w:rPr>
          <w:rFonts w:hint="eastAsia" w:ascii="Times New Roman" w:hAnsi="Times New Roman" w:cs="仿宋"/>
          <w:sz w:val="24"/>
          <w:szCs w:val="24"/>
          <w:lang w:val="en-US" w:eastAsia="zh-CN"/>
        </w:rPr>
        <w:t xml:space="preserve">，具体详见采购文件第四章采购需求。</w:t>
      </w:r>
      <w:r/>
    </w:p>
    <w:p>
      <w:pPr>
        <w:ind w:firstLine="48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6.合同履行期限：</w:t>
      </w:r>
      <w:r>
        <w:rPr>
          <w:rFonts w:hint="eastAsia" w:ascii="宋体" w:hAnsi="宋体" w:eastAsia="宋体" w:cs="宋体"/>
          <w:sz w:val="24"/>
          <w:szCs w:val="24"/>
          <w:lang w:val="en-US" w:eastAsia="zh-CN"/>
        </w:rPr>
        <w:t xml:space="preserve">一年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7.本项目</w:t>
      </w:r>
      <w:r>
        <w:rPr>
          <w:rFonts w:hint="eastAsia" w:ascii="宋体" w:hAnsi="宋体" w:eastAsia="宋体" w:cs="宋体"/>
          <w:sz w:val="24"/>
          <w:szCs w:val="24"/>
          <w:u w:val="single"/>
        </w:rPr>
        <w:t xml:space="preserve">不接受</w:t>
      </w:r>
      <w:r>
        <w:rPr>
          <w:rFonts w:hint="eastAsia" w:ascii="宋体" w:hAnsi="宋体" w:eastAsia="宋体" w:cs="宋体"/>
          <w:sz w:val="24"/>
          <w:szCs w:val="24"/>
        </w:rPr>
        <w:t xml:space="preserve">联合体投标。</w:t>
      </w:r>
      <w:r/>
    </w:p>
    <w:p>
      <w:pPr>
        <w:pStyle w:val="814"/>
        <w:ind w:firstLine="643"/>
        <w:spacing w:before="0" w:after="0" w:line="480" w:lineRule="exact"/>
        <w:rPr>
          <w:rFonts w:hint="eastAsia" w:ascii="宋体" w:hAnsi="宋体" w:eastAsia="宋体" w:cs="宋体"/>
          <w:bCs/>
          <w:szCs w:val="22"/>
        </w:rPr>
      </w:pPr>
      <w:r/>
      <w:bookmarkStart w:id="13" w:name="_Toc28359080"/>
      <w:r/>
      <w:bookmarkStart w:id="14" w:name="_Toc28359003"/>
      <w:r/>
      <w:bookmarkStart w:id="15" w:name="_Toc27291"/>
      <w:r/>
      <w:bookmarkStart w:id="16" w:name="_Toc35393791"/>
      <w:r/>
      <w:bookmarkStart w:id="17" w:name="_Toc38985264"/>
      <w:r/>
      <w:bookmarkStart w:id="18" w:name="_Toc35393622"/>
      <w:r>
        <w:rPr>
          <w:rFonts w:hint="eastAsia" w:ascii="宋体" w:hAnsi="宋体" w:eastAsia="宋体" w:cs="宋体"/>
          <w:bCs/>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hint="eastAsia" w:ascii="宋体" w:hAnsi="宋体" w:eastAsia="宋体" w:cs="宋体"/>
          <w:sz w:val="24"/>
          <w:szCs w:val="24"/>
        </w:rPr>
      </w:pPr>
      <w:r/>
      <w:bookmarkStart w:id="19" w:name="_Toc28359004"/>
      <w:r/>
      <w:bookmarkStart w:id="20" w:name="_Toc28359081"/>
      <w:r/>
      <w:bookmarkStart w:id="21" w:name="_Toc35393792"/>
      <w:r/>
      <w:bookmarkStart w:id="22" w:name="_Toc38985265"/>
      <w:r/>
      <w:bookmarkStart w:id="23" w:name="_Toc35393623"/>
      <w:r>
        <w:rPr>
          <w:rFonts w:hint="eastAsia" w:ascii="宋体" w:hAnsi="宋体" w:eastAsia="宋体" w:cs="宋体"/>
          <w:sz w:val="24"/>
          <w:szCs w:val="24"/>
        </w:rPr>
        <w:t xml:space="preserve">（一）通用资格要求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3.落实政府采购政策需满足的资格要求：</w:t>
      </w:r>
      <w:r>
        <w:rPr>
          <w:rFonts w:hint="eastAsia" w:ascii="宋体" w:hAnsi="宋体" w:eastAsia="宋体" w:cs="宋体"/>
          <w:sz w:val="24"/>
          <w:szCs w:val="24"/>
          <w:highlight w:val="none"/>
        </w:rPr>
        <w:t xml:space="preserve">无。</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无</w:t>
      </w:r>
      <w:r>
        <w:rPr>
          <w:rFonts w:hint="eastAsia" w:ascii="宋体" w:hAnsi="宋体" w:eastAsia="宋体" w:cs="宋体"/>
          <w:sz w:val="24"/>
          <w:szCs w:val="24"/>
        </w:rPr>
        <w:t xml:space="preserve">。</w:t>
      </w:r>
      <w:r/>
    </w:p>
    <w:p>
      <w:pPr>
        <w:pStyle w:val="814"/>
        <w:ind w:firstLine="643"/>
        <w:spacing w:before="0" w:after="0" w:line="480" w:lineRule="exact"/>
        <w:rPr>
          <w:rFonts w:hint="eastAsia" w:ascii="宋体" w:hAnsi="宋体" w:eastAsia="宋体" w:cs="宋体"/>
          <w:bCs/>
          <w:szCs w:val="22"/>
        </w:rPr>
      </w:pPr>
      <w:r/>
      <w:bookmarkStart w:id="24" w:name="_Toc22204"/>
      <w:r>
        <w:rPr>
          <w:rFonts w:hint="eastAsia" w:ascii="宋体" w:hAnsi="宋体" w:eastAsia="宋体" w:cs="宋体"/>
          <w:bCs/>
          <w:szCs w:val="22"/>
        </w:rPr>
        <w:t xml:space="preserve">三、获取招标文件</w:t>
      </w:r>
      <w:bookmarkEnd w:id="19"/>
      <w:r/>
      <w:bookmarkEnd w:id="20"/>
      <w:r/>
      <w:bookmarkEnd w:id="21"/>
      <w:r/>
      <w:bookmarkEnd w:id="22"/>
      <w:r/>
      <w:bookmarkEnd w:id="23"/>
      <w:r/>
      <w:bookmarkEnd w:id="24"/>
      <w:r/>
      <w:r/>
    </w:p>
    <w:p>
      <w:pPr>
        <w:ind w:firstLine="480"/>
        <w:spacing w:line="480" w:lineRule="exact"/>
        <w:rPr>
          <w:rFonts w:hint="eastAsia" w:ascii="宋体" w:hAnsi="宋体" w:eastAsia="宋体" w:cs="宋体"/>
          <w:sz w:val="24"/>
          <w:szCs w:val="24"/>
        </w:rPr>
      </w:pPr>
      <w:r/>
      <w:bookmarkStart w:id="25" w:name="_Toc28359005"/>
      <w:r/>
      <w:bookmarkStart w:id="26" w:name="_Toc28359082"/>
      <w:r/>
      <w:bookmarkStart w:id="27" w:name="_Toc35393793"/>
      <w:r/>
      <w:bookmarkStart w:id="28" w:name="_Toc35393624"/>
      <w:r/>
      <w:bookmarkStart w:id="29" w:name="_Toc38985266"/>
      <w:r>
        <w:rPr>
          <w:rFonts w:hint="eastAsia" w:ascii="宋体" w:hAnsi="宋体" w:eastAsia="宋体" w:cs="宋体"/>
          <w:sz w:val="24"/>
          <w:szCs w:val="24"/>
        </w:rPr>
        <w:t xml:space="preserve">1.时间：招标公告发布之日起5个工作日。</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2.方式：投标人应在招标文件提供的时间内，通过“苏采云”系统（网址：http://jszfcg.jsczt.cn/），使用CA锁登录系统后，找到本项目获取招标文件（后缀名为“.kedt”）。</w:t>
      </w:r>
      <w:r/>
    </w:p>
    <w:p>
      <w:pPr>
        <w:ind w:firstLine="480"/>
        <w:spacing w:line="480" w:lineRule="exact"/>
        <w:rPr>
          <w:rFonts w:hint="eastAsia" w:ascii="宋体" w:hAnsi="宋体" w:eastAsia="宋体" w:cs="宋体"/>
          <w:sz w:val="24"/>
          <w:szCs w:val="24"/>
        </w:rPr>
      </w:pPr>
      <w:r/>
      <w:bookmarkStart w:id="30" w:name="EB0c44ff4da61f4af989d119fe214be450"/>
      <w:r>
        <w:rPr>
          <w:rFonts w:hint="eastAsia" w:ascii="宋体" w:hAnsi="宋体" w:eastAsia="宋体" w:cs="宋体"/>
          <w:sz w:val="24"/>
          <w:szCs w:val="24"/>
        </w:rPr>
        <w:t xml:space="preserve">3.本项目共分</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个采购包。投标人参与多个采购包投标的，应按采购包分别获取招标文件。投标人未按要求获取招标文件，后果自负（其投标文件不予接受）。</w:t>
      </w:r>
      <w:bookmarkEnd w:id="30"/>
      <w:r/>
      <w:r/>
    </w:p>
    <w:p>
      <w:pPr>
        <w:pStyle w:val="814"/>
        <w:ind w:firstLine="643"/>
        <w:spacing w:before="0" w:after="0" w:line="480" w:lineRule="exact"/>
        <w:rPr>
          <w:rFonts w:hint="eastAsia" w:ascii="宋体" w:hAnsi="宋体" w:eastAsia="宋体" w:cs="宋体"/>
          <w:bCs/>
          <w:szCs w:val="22"/>
        </w:rPr>
      </w:pPr>
      <w:r/>
      <w:bookmarkStart w:id="31" w:name="_Toc19148"/>
      <w:r>
        <w:rPr>
          <w:rFonts w:hint="eastAsia" w:ascii="宋体" w:hAnsi="宋体" w:eastAsia="宋体" w:cs="宋体"/>
          <w:bCs/>
          <w:szCs w:val="22"/>
        </w:rPr>
        <w:t xml:space="preserve">四、提交投标文件</w:t>
      </w:r>
      <w:bookmarkEnd w:id="25"/>
      <w:r/>
      <w:bookmarkEnd w:id="26"/>
      <w:r>
        <w:rPr>
          <w:rFonts w:hint="eastAsia" w:ascii="宋体" w:hAnsi="宋体" w:eastAsia="宋体" w:cs="宋体"/>
          <w:bCs/>
          <w:szCs w:val="22"/>
        </w:rPr>
        <w:t xml:space="preserve">截止时间、开标时间和地点</w:t>
      </w:r>
      <w:bookmarkEnd w:id="27"/>
      <w:r/>
      <w:bookmarkEnd w:id="28"/>
      <w:r/>
      <w:bookmarkEnd w:id="29"/>
      <w:r/>
      <w:bookmarkEnd w:id="31"/>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1.提交投标文件截止时间、开标时间：2026年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31</w:t>
      </w:r>
      <w:bookmarkStart w:id="203" w:name="_GoBack"/>
      <w:r/>
      <w:bookmarkEnd w:id="203"/>
      <w:r>
        <w:rPr>
          <w:rFonts w:hint="eastAsia" w:ascii="宋体" w:hAnsi="宋体" w:eastAsia="宋体" w:cs="宋体"/>
          <w:sz w:val="24"/>
          <w:szCs w:val="24"/>
        </w:rPr>
        <w:t xml:space="preserve">日09点30分（北京时间）</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pStyle w:val="814"/>
        <w:ind w:firstLine="643"/>
        <w:spacing w:before="0" w:after="0" w:line="480" w:lineRule="exact"/>
        <w:rPr>
          <w:rFonts w:hint="eastAsia" w:ascii="宋体" w:hAnsi="宋体" w:eastAsia="宋体" w:cs="宋体"/>
          <w:bCs/>
          <w:szCs w:val="22"/>
        </w:rPr>
      </w:pPr>
      <w:r/>
      <w:bookmarkStart w:id="32" w:name="_Toc38985267"/>
      <w:r/>
      <w:bookmarkStart w:id="33" w:name="_Toc28359007"/>
      <w:r/>
      <w:bookmarkStart w:id="34" w:name="_Toc24820"/>
      <w:r/>
      <w:bookmarkStart w:id="35" w:name="_Toc35393625"/>
      <w:r/>
      <w:bookmarkStart w:id="36" w:name="_Toc35393794"/>
      <w:r/>
      <w:bookmarkStart w:id="37" w:name="_Toc28359084"/>
      <w:r>
        <w:rPr>
          <w:rFonts w:hint="eastAsia" w:ascii="宋体" w:hAnsi="宋体" w:eastAsia="宋体" w:cs="宋体"/>
          <w:bCs/>
          <w:szCs w:val="22"/>
        </w:rPr>
        <w:t xml:space="preserve">五、公告期限</w:t>
      </w:r>
      <w:bookmarkEnd w:id="32"/>
      <w:r/>
      <w:bookmarkEnd w:id="33"/>
      <w:r/>
      <w:bookmarkEnd w:id="34"/>
      <w:r/>
      <w:bookmarkEnd w:id="35"/>
      <w:r/>
      <w:bookmarkEnd w:id="36"/>
      <w:r/>
      <w:bookmarkEnd w:id="37"/>
      <w:r/>
      <w:r/>
    </w:p>
    <w:p>
      <w:pPr>
        <w:ind w:firstLine="480"/>
        <w:spacing w:line="480" w:lineRule="exact"/>
        <w:rPr>
          <w:rFonts w:hint="eastAsia" w:ascii="宋体" w:hAnsi="宋体" w:eastAsia="宋体" w:cs="宋体"/>
          <w:sz w:val="24"/>
          <w:szCs w:val="24"/>
        </w:rPr>
      </w:pPr>
      <w:r/>
      <w:bookmarkStart w:id="38" w:name="_Toc38985268"/>
      <w:r/>
      <w:bookmarkStart w:id="39" w:name="_Toc35393795"/>
      <w:r/>
      <w:bookmarkStart w:id="40" w:name="_Toc35393626"/>
      <w:r>
        <w:rPr>
          <w:rFonts w:hint="eastAsia" w:ascii="宋体" w:hAnsi="宋体" w:eastAsia="宋体" w:cs="宋体"/>
          <w:sz w:val="24"/>
          <w:szCs w:val="24"/>
        </w:rPr>
        <w:t xml:space="preserve">招标公告及招标文件公告期限为自本公告发布之日起5个工作日。</w:t>
      </w:r>
      <w:r/>
    </w:p>
    <w:p>
      <w:pPr>
        <w:pStyle w:val="814"/>
        <w:ind w:firstLine="643"/>
        <w:spacing w:before="0" w:after="0" w:line="480" w:lineRule="exact"/>
        <w:rPr>
          <w:rFonts w:hint="eastAsia" w:ascii="宋体" w:hAnsi="宋体" w:eastAsia="宋体" w:cs="宋体"/>
          <w:bCs/>
          <w:szCs w:val="22"/>
        </w:rPr>
      </w:pPr>
      <w:r/>
      <w:bookmarkStart w:id="41" w:name="_Toc13415"/>
      <w:r>
        <w:rPr>
          <w:rFonts w:hint="eastAsia" w:ascii="宋体" w:hAnsi="宋体" w:eastAsia="宋体" w:cs="宋体"/>
          <w:bCs/>
          <w:szCs w:val="22"/>
        </w:rPr>
        <w:t xml:space="preserve">六、其他补充事宜</w:t>
      </w:r>
      <w:bookmarkEnd w:id="38"/>
      <w:r/>
      <w:bookmarkEnd w:id="39"/>
      <w:r/>
      <w:bookmarkEnd w:id="40"/>
      <w:r/>
      <w:bookmarkEnd w:id="41"/>
      <w:r/>
      <w:r/>
    </w:p>
    <w:p>
      <w:pPr>
        <w:ind w:firstLine="480"/>
        <w:spacing w:line="480" w:lineRule="exact"/>
        <w:rPr>
          <w:rFonts w:hint="eastAsia" w:ascii="宋体" w:hAnsi="宋体" w:eastAsia="宋体" w:cs="宋体"/>
          <w:sz w:val="24"/>
          <w:szCs w:val="24"/>
        </w:rPr>
      </w:pPr>
      <w:r/>
      <w:bookmarkStart w:id="42" w:name="EB64e1f522fd8c43fcb4d3ba471386b3e7"/>
      <w:r/>
      <w:bookmarkStart w:id="43" w:name="_Toc38985269"/>
      <w:r/>
      <w:bookmarkStart w:id="44" w:name="_Toc28359008"/>
      <w:r/>
      <w:bookmarkStart w:id="45" w:name="_Toc35393796"/>
      <w:r/>
      <w:bookmarkStart w:id="46" w:name="_Toc35393627"/>
      <w:r/>
      <w:bookmarkStart w:id="47" w:name="_Toc28359085"/>
      <w:r>
        <w:rPr>
          <w:rFonts w:hint="eastAsia" w:ascii="宋体" w:hAnsi="宋体" w:eastAsia="宋体" w:cs="宋体"/>
          <w:sz w:val="24"/>
          <w:szCs w:val="24"/>
        </w:rPr>
        <w:t xml:space="preserve">1.招标公告发布媒体：</w:t>
      </w:r>
      <w:bookmarkStart w:id="48" w:name="OLE_LINK3"/>
      <w:r>
        <w:rPr>
          <w:rFonts w:hint="eastAsia" w:ascii="宋体" w:hAnsi="宋体" w:eastAsia="宋体" w:cs="宋体"/>
          <w:sz w:val="24"/>
          <w:szCs w:val="24"/>
        </w:rPr>
        <w:t xml:space="preserve">江苏政府采购网</w:t>
      </w:r>
      <w:bookmarkEnd w:id="48"/>
      <w:r>
        <w:rPr>
          <w:rFonts w:hint="eastAsia" w:ascii="宋体" w:hAnsi="宋体" w:eastAsia="宋体" w:cs="宋体"/>
          <w:sz w:val="24"/>
          <w:szCs w:val="24"/>
        </w:rPr>
        <w:t xml:space="preserve">、宿迁市政府采购网等。</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3.宿迁地区“苏采云”系统技术支持客服电话：0527-84363067、0519-86722806。</w:t>
      </w:r>
      <w:bookmarkEnd w:id="42"/>
      <w:r/>
      <w:r/>
    </w:p>
    <w:p>
      <w:pPr>
        <w:ind w:firstLine="480"/>
        <w:spacing w:line="480" w:lineRule="exact"/>
        <w:rPr>
          <w:rFonts w:hint="eastAsia" w:ascii="宋体" w:hAnsi="宋体" w:eastAsia="宋体" w:cs="宋体"/>
          <w:sz w:val="24"/>
        </w:rPr>
      </w:pPr>
      <w:r/>
      <w:bookmarkStart w:id="49" w:name="_Toc29049"/>
      <w:r>
        <w:rPr>
          <w:rFonts w:hint="eastAsia" w:ascii="宋体" w:hAnsi="宋体" w:eastAsia="宋体" w:cs="宋体"/>
          <w:sz w:val="24"/>
          <w:szCs w:val="24"/>
        </w:rPr>
        <w:t xml:space="preserve">4.</w:t>
      </w:r>
      <w:r>
        <w:rPr>
          <w:rFonts w:hint="eastAsia" w:ascii="宋体" w:hAnsi="宋体" w:eastAsia="宋体" w:cs="宋体"/>
          <w:sz w:val="24"/>
        </w:rPr>
        <w:t xml:space="preserve">质疑渠道：投标人登录“苏采云”系统“项目质疑申请”模块向采购人</w:t>
      </w:r>
      <w:r>
        <w:rPr>
          <w:rFonts w:hint="eastAsia" w:ascii="宋体" w:hAnsi="宋体" w:eastAsia="宋体" w:cs="宋体"/>
          <w:sz w:val="24"/>
          <w:lang w:val="en-US" w:eastAsia="zh-CN"/>
        </w:rPr>
        <w:t xml:space="preserve">或采购代理机构</w:t>
      </w:r>
      <w:r>
        <w:rPr>
          <w:rFonts w:hint="eastAsia" w:ascii="宋体" w:hAnsi="宋体" w:eastAsia="宋体" w:cs="宋体"/>
          <w:sz w:val="24"/>
        </w:rPr>
        <w:t xml:space="preserve">提出，质疑处理联系方式详见“采购人信息</w:t>
      </w:r>
      <w:r>
        <w:rPr>
          <w:rFonts w:hint="eastAsia" w:ascii="宋体" w:hAnsi="宋体" w:eastAsia="宋体" w:cs="宋体"/>
          <w:sz w:val="24"/>
          <w:lang w:eastAsia="zh-CN"/>
        </w:rPr>
        <w:t xml:space="preserve">、</w:t>
      </w:r>
      <w:r>
        <w:rPr>
          <w:rFonts w:hint="eastAsia" w:ascii="宋体" w:hAnsi="宋体" w:eastAsia="宋体" w:cs="宋体"/>
          <w:sz w:val="24"/>
        </w:rPr>
        <w:t xml:space="preserve">采购代理机构信息”；</w:t>
      </w:r>
      <w:r>
        <w:rPr>
          <w:rFonts w:hint="eastAsia" w:ascii="宋体" w:hAnsi="宋体" w:eastAsia="宋体" w:cs="宋体"/>
          <w:sz w:val="24"/>
          <w:szCs w:val="24"/>
        </w:rPr>
        <w:t xml:space="preserve">财政部门投诉受理电话：0527-84363063。</w:t>
      </w:r>
      <w:r/>
    </w:p>
    <w:p>
      <w:pPr>
        <w:pStyle w:val="814"/>
        <w:ind w:firstLine="643"/>
        <w:spacing w:before="0" w:after="0" w:line="480" w:lineRule="exact"/>
        <w:rPr>
          <w:rFonts w:hint="eastAsia" w:ascii="宋体" w:hAnsi="宋体" w:eastAsia="宋体" w:cs="宋体"/>
          <w:bCs/>
          <w:szCs w:val="22"/>
        </w:rPr>
      </w:pPr>
      <w:r>
        <w:rPr>
          <w:rFonts w:hint="eastAsia" w:ascii="宋体" w:hAnsi="宋体" w:eastAsia="宋体" w:cs="宋体"/>
          <w:bCs/>
          <w:szCs w:val="22"/>
        </w:rPr>
        <w:t xml:space="preserve">七、本次招标联系方式</w:t>
      </w:r>
      <w:bookmarkEnd w:id="43"/>
      <w:r/>
      <w:bookmarkEnd w:id="44"/>
      <w:r/>
      <w:bookmarkEnd w:id="45"/>
      <w:r/>
      <w:bookmarkEnd w:id="46"/>
      <w:r/>
      <w:bookmarkEnd w:id="47"/>
      <w:r/>
      <w:bookmarkEnd w:id="49"/>
      <w:r/>
      <w:r/>
    </w:p>
    <w:p>
      <w:pPr>
        <w:ind w:firstLine="480"/>
        <w:spacing w:line="480" w:lineRule="exact"/>
        <w:rPr>
          <w:rFonts w:hint="eastAsia" w:ascii="宋体" w:hAnsi="宋体" w:eastAsia="宋体" w:cs="宋体"/>
          <w:sz w:val="24"/>
        </w:rPr>
      </w:pPr>
      <w:r/>
      <w:bookmarkStart w:id="50" w:name="_Toc28359009"/>
      <w:r/>
      <w:bookmarkStart w:id="51" w:name="_Toc28359086"/>
      <w:r>
        <w:rPr>
          <w:rFonts w:hint="eastAsia" w:ascii="宋体" w:hAnsi="宋体" w:eastAsia="宋体" w:cs="宋体"/>
          <w:sz w:val="24"/>
        </w:rPr>
        <w:t xml:space="preserve">1.采购人信息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名称：宿迁市公安局　</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地址：宿迁市洪泽湖路865号</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cs="宋体"/>
          <w:sz w:val="24"/>
          <w:lang w:val="en-US" w:eastAsia="zh-CN"/>
        </w:rPr>
        <w:t xml:space="preserve">赵建</w:t>
      </w:r>
      <w:r/>
    </w:p>
    <w:p>
      <w:pPr>
        <w:ind w:firstLine="480"/>
        <w:spacing w:line="480" w:lineRule="exact"/>
        <w:rPr>
          <w:rFonts w:hint="default" w:ascii="宋体" w:hAnsi="宋体" w:eastAsia="宋体" w:cs="宋体"/>
          <w:sz w:val="24"/>
          <w:lang w:val="en-US" w:eastAsia="zh-CN"/>
        </w:rPr>
      </w:pPr>
      <w:r>
        <w:rPr>
          <w:rFonts w:hint="eastAsia" w:ascii="宋体" w:hAnsi="宋体" w:eastAsia="宋体" w:cs="宋体"/>
          <w:sz w:val="24"/>
        </w:rPr>
        <w:t xml:space="preserve">联系方式：</w:t>
      </w:r>
      <w:r>
        <w:rPr>
          <w:rFonts w:hint="eastAsia" w:ascii="宋体" w:hAnsi="宋体" w:eastAsia="宋体" w:cs="Times New Roman"/>
          <w:sz w:val="24"/>
          <w:szCs w:val="24"/>
          <w:u w:val="none"/>
          <w:lang w:val="en-US" w:eastAsia="zh-CN"/>
        </w:rPr>
        <w:t xml:space="preserve">0527-8435</w:t>
      </w:r>
      <w:r>
        <w:rPr>
          <w:rFonts w:hint="eastAsia" w:ascii="宋体" w:hAnsi="宋体" w:cs="Times New Roman"/>
          <w:sz w:val="24"/>
          <w:szCs w:val="24"/>
          <w:u w:val="none"/>
          <w:lang w:val="en-US" w:eastAsia="zh-CN"/>
        </w:rPr>
        <w:t xml:space="preserve">255</w:t>
      </w:r>
      <w:bookmarkEnd w:id="50"/>
      <w:r/>
      <w:bookmarkEnd w:id="51"/>
      <w:r>
        <w:rPr>
          <w:rFonts w:hint="eastAsia" w:ascii="宋体" w:hAnsi="宋体" w:cs="Times New Roman"/>
          <w:sz w:val="24"/>
          <w:szCs w:val="24"/>
          <w:u w:val="none"/>
          <w:lang w:val="en-US" w:eastAsia="zh-CN"/>
        </w:rPr>
        <w:t xml:space="preserve">3</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名称：</w:t>
      </w:r>
      <w:r>
        <w:rPr>
          <w:rFonts w:hint="eastAsia" w:ascii="宋体" w:hAnsi="宋体" w:eastAsia="宋体" w:cs="宋体"/>
          <w:sz w:val="24"/>
          <w:lang w:eastAsia="zh-CN"/>
        </w:rPr>
        <w:t xml:space="preserve">宿迁泰元建设管理咨询有限公司</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地　址：宿迁市</w:t>
      </w:r>
      <w:r>
        <w:rPr>
          <w:rFonts w:hint="eastAsia" w:ascii="宋体" w:hAnsi="宋体" w:eastAsia="宋体" w:cs="宋体"/>
          <w:sz w:val="24"/>
          <w:lang w:val="en-US" w:eastAsia="zh-CN"/>
        </w:rPr>
        <w:t xml:space="preserve">太湖路79号</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屠贵敏</w:t>
      </w:r>
      <w:r/>
    </w:p>
    <w:p>
      <w:pPr>
        <w:ind w:firstLine="480"/>
        <w:spacing w:line="480" w:lineRule="exact"/>
        <w:rPr>
          <w:rFonts w:hint="eastAsia" w:ascii="宋体" w:hAnsi="宋体" w:eastAsia="宋体" w:cs="宋体"/>
          <w:sz w:val="24"/>
          <w:lang w:eastAsia="zh-CN"/>
        </w:rPr>
      </w:pPr>
      <w:r>
        <w:rPr>
          <w:rFonts w:hint="eastAsia" w:ascii="宋体" w:hAnsi="宋体" w:eastAsia="宋体" w:cs="宋体"/>
          <w:sz w:val="24"/>
        </w:rPr>
        <w:t xml:space="preserve">联系方式：</w:t>
      </w:r>
      <w:r>
        <w:rPr>
          <w:rFonts w:hint="eastAsia" w:ascii="宋体" w:hAnsi="宋体" w:eastAsia="宋体" w:cs="宋体"/>
          <w:sz w:val="24"/>
          <w:lang w:val="en-US" w:eastAsia="zh-CN"/>
        </w:rPr>
        <w:t xml:space="preserve">15250756668</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jc w:val="center"/>
        <w:spacing w:line="480" w:lineRule="exact"/>
        <w:rPr>
          <w:rFonts w:hint="eastAsia" w:ascii="宋体" w:hAnsi="宋体" w:eastAsia="宋体" w:cs="宋体"/>
          <w:sz w:val="44"/>
        </w:rPr>
        <w:outlineLvl w:val="0"/>
      </w:pPr>
      <w:r>
        <w:rPr>
          <w:rFonts w:hint="eastAsia" w:ascii="宋体" w:hAnsi="宋体" w:eastAsia="宋体" w:cs="宋体"/>
          <w:sz w:val="24"/>
        </w:rPr>
        <w:br w:type="page" w:clear="all"/>
      </w:r>
      <w:bookmarkStart w:id="52" w:name="_Toc11687"/>
      <w:r/>
      <w:bookmarkStart w:id="53" w:name="_Toc15265"/>
      <w:r/>
      <w:bookmarkStart w:id="54" w:name="_Toc81575153"/>
      <w:r/>
      <w:bookmarkStart w:id="55" w:name="_Toc9624"/>
      <w:r/>
      <w:bookmarkStart w:id="56" w:name="_Toc81575190"/>
      <w:r>
        <w:rPr>
          <w:rFonts w:hint="eastAsia" w:ascii="宋体" w:hAnsi="宋体" w:eastAsia="宋体" w:cs="宋体"/>
          <w:sz w:val="44"/>
        </w:rPr>
        <w:t xml:space="preserve">第二章投标人须知</w:t>
      </w:r>
      <w:bookmarkEnd w:id="52"/>
      <w:r/>
      <w:bookmarkEnd w:id="53"/>
      <w:r/>
      <w:bookmarkEnd w:id="54"/>
      <w:r/>
      <w:bookmarkEnd w:id="55"/>
      <w:r/>
      <w:bookmarkEnd w:id="56"/>
      <w:r/>
      <w:r/>
    </w:p>
    <w:p>
      <w:pPr>
        <w:pStyle w:val="814"/>
        <w:spacing w:before="0" w:after="120" w:line="520" w:lineRule="exact"/>
        <w:rPr>
          <w:rFonts w:hint="eastAsia" w:ascii="宋体" w:hAnsi="宋体" w:eastAsia="宋体" w:cs="宋体"/>
          <w:bCs/>
          <w:szCs w:val="22"/>
        </w:rPr>
      </w:pPr>
      <w:r/>
      <w:bookmarkStart w:id="57" w:name="_Toc4529"/>
      <w:r>
        <w:rPr>
          <w:rFonts w:hint="eastAsia" w:ascii="宋体" w:hAnsi="宋体" w:eastAsia="宋体" w:cs="宋体"/>
          <w:bCs/>
          <w:szCs w:val="22"/>
        </w:rPr>
        <w:t xml:space="preserve">投标人须知前附表：</w:t>
      </w:r>
      <w:bookmarkEnd w:id="57"/>
      <w:r/>
      <w:r/>
    </w:p>
    <w:tbl>
      <w:tblPr>
        <w:tblStyle w:val="78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宋体" w:hAnsi="宋体" w:eastAsia="宋体" w:cs="宋体"/>
                <w:b/>
                <w:sz w:val="24"/>
                <w:szCs w:val="24"/>
              </w:rPr>
            </w:pPr>
            <w:r/>
            <w:bookmarkStart w:id="58" w:name="_Toc29262"/>
            <w:r/>
            <w:bookmarkStart w:id="59" w:name="_Toc81575154"/>
            <w:r/>
            <w:bookmarkStart w:id="60" w:name="_Toc81575191"/>
            <w:r>
              <w:rPr>
                <w:rFonts w:hint="eastAsia" w:ascii="宋体" w:hAnsi="宋体" w:eastAsia="宋体" w:cs="宋体"/>
                <w:b/>
                <w:sz w:val="24"/>
                <w:szCs w:val="24"/>
              </w:rPr>
              <w:t xml:space="preserve">序号</w:t>
            </w:r>
            <w:r/>
          </w:p>
        </w:tc>
        <w:tc>
          <w:tcPr>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61" w:name="EB9a5853ee094f4f0ea6ec3169265f6f2c"/>
            <w:r>
              <w:rPr>
                <w:rFonts w:hint="eastAsia" w:ascii="宋体" w:hAnsi="宋体" w:eastAsia="宋体" w:cs="宋体"/>
                <w:sz w:val="24"/>
                <w:szCs w:val="24"/>
              </w:rPr>
              <w:t xml:space="preserve">属性按以下第</w:t>
            </w:r>
            <w:bookmarkEnd w:id="61"/>
            <w:r>
              <w:rPr>
                <w:rFonts w:hint="eastAsia" w:ascii="宋体" w:hAnsi="宋体" w:eastAsia="宋体" w:cs="宋体"/>
                <w:sz w:val="24"/>
                <w:szCs w:val="24"/>
              </w:rPr>
              <w:t xml:space="preserve">2种确定：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62" w:name="EBd5c6c026f9674c39b21b31ecd0c1e7fa"/>
            <w:r>
              <w:rPr>
                <w:rFonts w:hint="eastAsia" w:ascii="宋体" w:hAnsi="宋体" w:eastAsia="宋体" w:cs="宋体"/>
                <w:sz w:val="24"/>
                <w:szCs w:val="24"/>
              </w:rPr>
              <w:t xml:space="preserve">采购；2.</w:t>
            </w:r>
            <w:bookmarkEnd w:id="62"/>
            <w:r>
              <w:rPr>
                <w:rFonts w:hint="eastAsia" w:ascii="宋体" w:hAnsi="宋体" w:eastAsia="宋体" w:cs="宋体"/>
                <w:sz w:val="24"/>
                <w:szCs w:val="24"/>
              </w:rPr>
              <w:t xml:space="preserve">服务</w:t>
            </w:r>
            <w:bookmarkStart w:id="63" w:name="EBf7d2a4f44ecb4166a93ea852e73be69f"/>
            <w:r>
              <w:rPr>
                <w:rFonts w:hint="eastAsia" w:ascii="宋体" w:hAnsi="宋体" w:eastAsia="宋体" w:cs="宋体"/>
                <w:sz w:val="24"/>
                <w:szCs w:val="24"/>
              </w:rPr>
              <w:t xml:space="preserve">采购；3.</w:t>
            </w:r>
            <w:bookmarkEnd w:id="63"/>
            <w:r>
              <w:rPr>
                <w:rFonts w:hint="eastAsia" w:ascii="宋体" w:hAnsi="宋体" w:eastAsia="宋体" w:cs="宋体"/>
                <w:sz w:val="24"/>
                <w:szCs w:val="24"/>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4" w:name="EBd40b5fb42f2944a3b45e579ce3941f02"/>
            <w:r/>
            <w:bookmarkEnd w:id="64"/>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日（从提交投标文件截止之日起算）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按以下第2种方式确定：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具体评标办法详见招标文件第三章。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5" w:name="EBebac1462c5d9459fbda8a75065c2455d"/>
            <w:r>
              <w:rPr>
                <w:rFonts w:hint="eastAsia" w:ascii="宋体" w:hAnsi="宋体" w:eastAsia="宋体" w:cs="宋体"/>
                <w:sz w:val="24"/>
                <w:szCs w:val="24"/>
              </w:rPr>
              <w:t xml:space="preserve">本项目的非主体、非关键性工作是否允许分包</w:t>
            </w:r>
            <w:bookmarkEnd w:id="65"/>
            <w:r>
              <w:rPr>
                <w:rFonts w:hint="eastAsia" w:ascii="宋体" w:hAnsi="宋体" w:eastAsia="宋体" w:cs="宋体"/>
                <w:sz w:val="24"/>
                <w:szCs w:val="24"/>
              </w:rPr>
              <w:t xml:space="preserve">按以下第2种方式确定：</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66"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66"/>
            <w:r>
              <w:rPr>
                <w:rFonts w:hint="eastAsia" w:ascii="宋体" w:hAnsi="宋体" w:eastAsia="宋体" w:cs="宋体"/>
                <w:sz w:val="24"/>
                <w:szCs w:val="24"/>
              </w:rPr>
              <w:t xml:space="preserve">无</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宋体" w:hAnsi="宋体" w:eastAsia="宋体" w:cs="宋体"/>
                <w:sz w:val="24"/>
                <w:szCs w:val="24"/>
              </w:rPr>
            </w:pPr>
            <w:r/>
            <w:bookmarkStart w:id="67" w:name="EBfe735bb6fc4d4e5e9e350f940db98c5f"/>
            <w:r/>
            <w:bookmarkEnd w:id="67"/>
            <w:r>
              <w:rPr>
                <w:rFonts w:hint="eastAsia" w:ascii="Times New Roman" w:hAnsi="Times New Roman" w:eastAsia="宋体" w:cs="仿宋"/>
                <w:sz w:val="24"/>
                <w:szCs w:val="24"/>
                <w:lang w:val="en-US" w:eastAsia="zh-CN"/>
              </w:rPr>
              <w:t xml:space="preserve">根据</w:t>
            </w:r>
            <w:r>
              <w:rPr>
                <w:rFonts w:hint="eastAsia" w:ascii="Times New Roman" w:hAnsi="Times New Roman" w:eastAsia="宋体" w:cs="仿宋"/>
                <w:sz w:val="24"/>
                <w:szCs w:val="24"/>
              </w:rPr>
              <w:t xml:space="preserve">《政府采购代理机构管理暂行办法》财库〔2018〕2号</w:t>
            </w:r>
            <w:r>
              <w:rPr>
                <w:rFonts w:hint="eastAsia" w:ascii="Times New Roman" w:hAnsi="Times New Roman" w:eastAsia="宋体" w:cs="仿宋"/>
                <w:sz w:val="24"/>
                <w:szCs w:val="24"/>
                <w:lang w:val="en-US" w:eastAsia="zh-CN"/>
              </w:rPr>
              <w:t xml:space="preserve">第十五条规定，</w:t>
            </w:r>
            <w:r>
              <w:rPr>
                <w:rFonts w:hint="eastAsia" w:ascii="宋体" w:hAnsi="宋体" w:eastAsia="宋体" w:cs="宋体"/>
                <w:sz w:val="24"/>
                <w:szCs w:val="24"/>
                <w:lang w:val="en-US" w:eastAsia="zh-CN"/>
              </w:rPr>
              <w:t xml:space="preserve">本项目代理服务费由成交供应商支付，收费标准：按照《江苏省招标代理服务收费指导意见》苏招协{2002}002号文件收费标准的</w:t>
            </w: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0%收取。</w:t>
            </w:r>
            <w:r/>
          </w:p>
        </w:tc>
      </w:tr>
      <w:tr>
        <w:trPr/>
        <w:tc>
          <w:tcPr>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772"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w:t>
            </w:r>
            <w:bookmarkEnd w:id="58"/>
            <w:r/>
            <w:bookmarkEnd w:id="59"/>
            <w:r/>
            <w:bookmarkEnd w:id="60"/>
            <w:r/>
            <w:r/>
          </w:p>
        </w:tc>
        <w:tc>
          <w:tcPr>
            <w:tcW w:w="6579" w:type="dxa"/>
            <w:vAlign w:val="center"/>
            <w:textDirection w:val="lrTb"/>
            <w:noWrap w:val="false"/>
          </w:tcPr>
          <w:p>
            <w:pPr>
              <w:jc w:val="left"/>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1.信用信息查询截止时间：资格审查结束前。由采购人在资格审查现场查询信用信息，网页截屏打印，查询结果留存并归档。</w:t>
            </w:r>
            <w:r/>
          </w:p>
          <w:p>
            <w:pPr>
              <w:jc w:val="left"/>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注：因“苏采云”系统原因，投标人在系统内开标一览表中的填写的“优惠率”即为招标文件中的“折扣”，两者数值应相同，请各投标人准确填写，最终服务费按实结算，结算价款按实际发生的费用*中标折扣</w:t>
            </w:r>
            <w:r/>
          </w:p>
        </w:tc>
      </w:tr>
    </w:tbl>
    <w:p>
      <w:pPr>
        <w:pStyle w:val="814"/>
        <w:ind w:firstLine="321"/>
        <w:spacing w:before="0" w:after="0" w:line="480" w:lineRule="exact"/>
        <w:rPr>
          <w:rFonts w:hint="eastAsia" w:ascii="宋体" w:hAnsi="宋体" w:eastAsia="宋体" w:cs="宋体"/>
          <w:bCs/>
          <w:szCs w:val="22"/>
        </w:rPr>
      </w:pPr>
      <w:r/>
      <w:bookmarkStart w:id="68" w:name="EB6eaaf474639940df900ef4965d71f450"/>
      <w:r/>
      <w:bookmarkEnd w:id="68"/>
      <w:r/>
      <w:bookmarkStart w:id="69" w:name="_Toc81575192"/>
      <w:r/>
      <w:bookmarkStart w:id="70" w:name="_Toc81575155"/>
      <w:r/>
      <w:bookmarkStart w:id="71" w:name="_Toc8239"/>
      <w:r/>
      <w:bookmarkStart w:id="72" w:name="_Toc30953"/>
      <w:r>
        <w:rPr>
          <w:rFonts w:hint="eastAsia" w:ascii="宋体" w:hAnsi="宋体" w:eastAsia="宋体" w:cs="宋体"/>
          <w:bCs/>
          <w:szCs w:val="22"/>
        </w:rPr>
        <w:br w:type="page" w:clear="all"/>
      </w:r>
      <w:r>
        <w:rPr>
          <w:rFonts w:hint="eastAsia" w:ascii="宋体" w:hAnsi="宋体" w:eastAsia="宋体" w:cs="宋体"/>
          <w:bCs/>
          <w:szCs w:val="22"/>
        </w:rPr>
        <w:t xml:space="preserve">一、总则</w:t>
      </w:r>
      <w:bookmarkEnd w:id="69"/>
      <w:r/>
      <w:bookmarkEnd w:id="70"/>
      <w:r/>
      <w:bookmarkEnd w:id="71"/>
      <w:r/>
      <w:bookmarkEnd w:id="7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1、招标方式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本次采购采取公开招标方式。</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2、合格的投标人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3、适用法律和标准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3.1本次招标及由招标产生的合同受中华人民共和国的相关法律、法规制约和保护。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3.2在本项目政府采购活动过程中，如果所执行的标准有更新的，按照最新标准执行。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4、投标费用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投标人应自行承担所有参加投标有关的费用。</w:t>
      </w:r>
      <w:r/>
    </w:p>
    <w:p>
      <w:pPr>
        <w:pStyle w:val="814"/>
        <w:ind w:firstLine="321"/>
        <w:spacing w:before="0" w:after="0" w:line="480" w:lineRule="exact"/>
        <w:rPr>
          <w:rFonts w:hint="eastAsia" w:ascii="宋体" w:hAnsi="宋体" w:eastAsia="宋体" w:cs="宋体"/>
          <w:bCs/>
          <w:szCs w:val="22"/>
        </w:rPr>
      </w:pPr>
      <w:r/>
      <w:bookmarkStart w:id="73" w:name="_Toc15995"/>
      <w:r/>
      <w:bookmarkStart w:id="74" w:name="_Toc81575193"/>
      <w:r/>
      <w:bookmarkStart w:id="75" w:name="_Toc29306"/>
      <w:r/>
      <w:bookmarkStart w:id="76" w:name="_Toc81575156"/>
      <w:r>
        <w:rPr>
          <w:rFonts w:hint="eastAsia" w:ascii="宋体" w:hAnsi="宋体" w:eastAsia="宋体" w:cs="宋体"/>
          <w:bCs/>
          <w:szCs w:val="22"/>
        </w:rPr>
        <w:t xml:space="preserve">二、招标文件</w:t>
      </w:r>
      <w:bookmarkEnd w:id="73"/>
      <w:r/>
      <w:bookmarkEnd w:id="74"/>
      <w:r/>
      <w:bookmarkEnd w:id="75"/>
      <w:r/>
      <w:bookmarkEnd w:id="76"/>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5、招标文件构成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5.1招标文件由以下部分组成：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第一章：投标邀请；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第二章：投标人须知；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第三章：资格审查及评标办法；</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第五章：合同文本；</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第六章：投标文件格式。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5.2投标人应认真阅读招标文件中所有的事项、格式、条款和规范等要求，按招标文件要求和规定编制投标文件。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sz w:val="24"/>
          <w:highlight w:val="none"/>
          <w:u w:val="single"/>
          <w:lang w:eastAsia="zh-CN"/>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highlight w:val="none"/>
          <w:u w:val="single"/>
        </w:rPr>
        <w:t xml:space="preserve">6.1</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rPr>
        <w:t xml:space="preserve">本项目按</w:t>
      </w:r>
      <w:r>
        <w:rPr>
          <w:rFonts w:hint="eastAsia" w:ascii="宋体" w:hAnsi="宋体" w:eastAsia="宋体" w:cs="宋体"/>
          <w:sz w:val="24"/>
          <w:highlight w:val="none"/>
        </w:rPr>
        <w:t xml:space="preserve">第</w:t>
      </w:r>
      <w:r>
        <w:rPr>
          <w:rFonts w:hint="eastAsia" w:ascii="宋体" w:hAnsi="宋体" w:eastAsia="宋体" w:cs="宋体"/>
          <w:sz w:val="24"/>
          <w:highlight w:val="none"/>
          <w:u w:val="single"/>
        </w:rPr>
        <w:t xml:space="preserve">（2）</w:t>
      </w:r>
      <w:r>
        <w:rPr>
          <w:rFonts w:hint="eastAsia" w:ascii="宋体" w:hAnsi="宋体" w:eastAsia="宋体" w:cs="宋体"/>
          <w:sz w:val="24"/>
          <w:highlight w:val="none"/>
        </w:rPr>
        <w:t xml:space="preserve">种政策落实：</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sz w:val="24"/>
          <w:highlight w:val="none"/>
          <w:u w:val="single"/>
        </w:rPr>
        <w:t xml:space="preserve">15%</w:t>
      </w:r>
      <w:r>
        <w:rPr>
          <w:rFonts w:hint="eastAsia" w:ascii="宋体" w:hAnsi="宋体" w:eastAsia="宋体" w:cs="宋体"/>
          <w:sz w:val="24"/>
          <w:highlight w:val="none"/>
        </w:rPr>
        <w:t xml:space="preserve">扣</w:t>
      </w:r>
      <w:r>
        <w:rPr>
          <w:rFonts w:hint="eastAsia" w:ascii="宋体" w:hAnsi="宋体" w:eastAsia="宋体" w:cs="宋体"/>
          <w:sz w:val="24"/>
        </w:rPr>
        <w:t xml:space="preserve">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6.2采购本国产品的支持政策</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6.2.1</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000000"/>
          <w:sz w:val="24"/>
        </w:rPr>
      </w:pPr>
      <w:r>
        <w:rPr>
          <w:rFonts w:hint="eastAsia" w:ascii="宋体" w:hAnsi="宋体" w:eastAsia="宋体" w:cs="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6.2.2本项目政府采购活动中既有本国产品又有非本国产品参与竞争的，</w:t>
      </w:r>
      <w:bookmarkStart w:id="77" w:name="OLE_LINK7"/>
      <w:r>
        <w:rPr>
          <w:rFonts w:hint="eastAsia" w:ascii="宋体" w:hAnsi="宋体" w:eastAsia="宋体" w:cs="宋体"/>
          <w:color w:val="000000"/>
          <w:sz w:val="24"/>
        </w:rPr>
        <w:t xml:space="preserve">依法对本国产品给予价格评审优惠，对本国产品的报价给予</w:t>
      </w:r>
      <w:r>
        <w:rPr>
          <w:rFonts w:hint="eastAsia" w:ascii="宋体" w:hAnsi="宋体" w:eastAsia="宋体" w:cs="宋体"/>
          <w:b/>
          <w:bCs/>
          <w:color w:val="000000"/>
          <w:sz w:val="24"/>
          <w:u w:val="single"/>
        </w:rPr>
        <w:t xml:space="preserve">20%</w:t>
      </w:r>
      <w:r>
        <w:rPr>
          <w:rFonts w:hint="eastAsia" w:ascii="宋体" w:hAnsi="宋体" w:eastAsia="宋体" w:cs="宋体"/>
          <w:color w:val="000000"/>
          <w:sz w:val="24"/>
        </w:rPr>
        <w:t xml:space="preserve">的价格扣除，用扣除后的价格参与评审。</w:t>
      </w:r>
      <w:bookmarkEnd w:id="77"/>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6.2.3当采购项目或者采购包中含有多种产品，投标人为该采购项目或者采购包提供的符合本国产品标准的产品成本之和占该投标人提供的全部产品成本之和的比例达到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000000"/>
          <w:sz w:val="24"/>
        </w:rPr>
        <w:t xml:space="preserve">80%以上</w:t>
      </w:r>
      <w:r>
        <w:rPr>
          <w:rFonts w:hint="eastAsia" w:ascii="宋体" w:hAnsi="宋体" w:eastAsia="宋体" w:cs="宋体"/>
          <w:color w:val="000000"/>
          <w:sz w:val="24"/>
        </w:rPr>
        <w:t xml:space="preserve">时（投标人需在“第六章投标文件格式”的</w:t>
      </w:r>
      <w:r>
        <w:rPr>
          <w:rFonts w:hint="eastAsia" w:ascii="宋体" w:hAnsi="宋体" w:eastAsia="宋体" w:cs="宋体"/>
          <w:color w:val="000000"/>
          <w:sz w:val="24"/>
          <w:highlight w:val="none"/>
        </w:rPr>
        <w:t xml:space="preserve">“分项报价表”中填写</w:t>
      </w:r>
      <w:r>
        <w:rPr>
          <w:rFonts w:hint="eastAsia" w:ascii="宋体" w:hAnsi="宋体" w:eastAsia="宋体" w:cs="宋体"/>
          <w:color w:val="000000"/>
          <w:sz w:val="24"/>
        </w:rPr>
        <w:t xml:space="preserve">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6.2.4投标人需按照招标文件的要求提供《关于符合本国产品标准的声明函》，如不提供将不享受本国产品价格评审优惠。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6.2.5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6.2.6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采用综合评分法的项目，对提供有效节能产品、环境标志证书产品的投标人加分。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采用最低评标价法的项目，同等条件下优先推荐提供有效节能产品、环境标志产品证书多的投标人为中标人。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按照财政部生态环境部工业和信息化部关于印发《绿色数据中心政府采购需求标准（试行）》的通知）要求执行，本项目绿色数据中心的具体需求详见第四章采购需求。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6.5采购产品中涉及涂料、胶黏剂、油墨、清洗剂等挥发性有机物产品的，属于强制性标准的，投标人应当提供符合国家和江苏省相关VOCs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7、招标文件的澄清或修改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7.3投标人应及时登录“苏采云”系统获取、查看澄清答疑文件（修改后的招标文件），否则造成的相关责任由投标人承担。</w:t>
      </w:r>
      <w:r/>
    </w:p>
    <w:p>
      <w:pPr>
        <w:pStyle w:val="814"/>
        <w:ind w:firstLine="321"/>
        <w:spacing w:before="0" w:after="0" w:line="480" w:lineRule="exact"/>
        <w:rPr>
          <w:rFonts w:hint="eastAsia" w:ascii="宋体" w:hAnsi="宋体" w:eastAsia="宋体" w:cs="宋体"/>
          <w:bCs/>
          <w:szCs w:val="22"/>
        </w:rPr>
      </w:pPr>
      <w:r/>
      <w:bookmarkStart w:id="78" w:name="_Toc11461"/>
      <w:r/>
      <w:bookmarkStart w:id="79" w:name="_Toc81575194"/>
      <w:r/>
      <w:bookmarkStart w:id="80" w:name="_Toc81575157"/>
      <w:r/>
      <w:bookmarkStart w:id="81" w:name="_Toc5574"/>
      <w:r>
        <w:rPr>
          <w:rFonts w:hint="eastAsia" w:ascii="宋体" w:hAnsi="宋体" w:eastAsia="宋体" w:cs="宋体"/>
          <w:bCs/>
          <w:szCs w:val="22"/>
        </w:rPr>
        <w:t xml:space="preserve">三、投标文件的编制</w:t>
      </w:r>
      <w:bookmarkEnd w:id="78"/>
      <w:r/>
      <w:bookmarkEnd w:id="79"/>
      <w:r/>
      <w:bookmarkEnd w:id="80"/>
      <w:r/>
      <w:bookmarkEnd w:id="81"/>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8、投标文件的编制要求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8.2投标文件要求加盖电子签章之处，应按要求加盖投标人数字证书的电子签章。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8.3本项目通过“苏采云”系统进行电子投标，投标人使用政府采购客户端工具制作并通过“苏采云”系统提交投标文件，如</w:t>
      </w:r>
      <w:r>
        <w:rPr>
          <w:rFonts w:hint="eastAsia" w:ascii="宋体" w:hAnsi="宋体" w:eastAsia="宋体" w:cs="宋体"/>
          <w:sz w:val="24"/>
          <w:lang w:val="en-US" w:eastAsia="zh-CN"/>
        </w:rPr>
        <w:t xml:space="preserve">投标文件</w:t>
      </w:r>
      <w:r>
        <w:rPr>
          <w:rFonts w:hint="eastAsia" w:ascii="宋体" w:hAnsi="宋体" w:eastAsia="宋体" w:cs="宋体"/>
          <w:sz w:val="24"/>
        </w:rPr>
        <w:t xml:space="preserve">制作工具内容与“江苏政府采购网”“宿迁市政府采购网”发布的招标文件不一致的，以“江苏政府采购网”“宿迁市政府采购网”发布的招标文件为准。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9、投标文件构成</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9.1投标文件包括投标函、资格证明文件、开标一览表、分项报价表、响应及偏离表等部分。投标文件</w:t>
      </w:r>
      <w:r>
        <w:rPr>
          <w:rFonts w:hint="eastAsia" w:ascii="宋体" w:hAnsi="宋体" w:eastAsia="宋体" w:cs="宋体"/>
          <w:bCs/>
          <w:sz w:val="24"/>
        </w:rPr>
        <w:t xml:space="preserve">构成资料为非中文时应提供中文译版。</w:t>
      </w:r>
      <w:bookmarkStart w:id="82" w:name="EBc50e2bb832bb43068403b10c1cce6141"/>
      <w:r/>
      <w:r/>
    </w:p>
    <w:p>
      <w:pPr>
        <w:ind w:firstLine="482"/>
        <w:spacing w:line="480" w:lineRule="exact"/>
        <w:rPr>
          <w:rFonts w:hint="eastAsia" w:ascii="宋体" w:hAnsi="宋体" w:eastAsia="宋体" w:cs="宋体"/>
          <w:bCs/>
          <w:sz w:val="24"/>
        </w:rPr>
      </w:pPr>
      <w:r>
        <w:rPr>
          <w:rFonts w:hint="eastAsia" w:ascii="宋体" w:hAnsi="宋体" w:eastAsia="宋体" w:cs="宋体"/>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83"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8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14"/>
        <w:ind w:firstLine="321"/>
        <w:spacing w:before="0" w:after="0" w:line="480" w:lineRule="exact"/>
        <w:rPr>
          <w:rFonts w:hint="eastAsia" w:ascii="宋体" w:hAnsi="宋体" w:eastAsia="宋体" w:cs="宋体"/>
          <w:bCs/>
          <w:szCs w:val="22"/>
        </w:rPr>
      </w:pPr>
      <w:r/>
      <w:bookmarkStart w:id="84" w:name="_Toc81575195"/>
      <w:r/>
      <w:bookmarkStart w:id="85" w:name="_Toc23443"/>
      <w:r/>
      <w:bookmarkStart w:id="86" w:name="_Toc81575158"/>
      <w:r/>
      <w:bookmarkStart w:id="87" w:name="_Toc2773"/>
      <w:r>
        <w:rPr>
          <w:rFonts w:hint="eastAsia" w:ascii="宋体" w:hAnsi="宋体" w:eastAsia="宋体" w:cs="宋体"/>
          <w:bCs/>
          <w:szCs w:val="22"/>
        </w:rPr>
        <w:t xml:space="preserve">四、投标文件的提交</w:t>
      </w:r>
      <w:bookmarkEnd w:id="84"/>
      <w:r/>
      <w:bookmarkEnd w:id="85"/>
      <w:r/>
      <w:bookmarkEnd w:id="86"/>
      <w:r/>
      <w:bookmarkEnd w:id="8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13、投标文件的提交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14、投标文件被拒绝接收的情形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在招标文件规定的投标截止时间后上传的投标文件或对投标报价或其他实质性内容修正的文件。</w:t>
      </w:r>
      <w:r/>
    </w:p>
    <w:p>
      <w:pPr>
        <w:pStyle w:val="814"/>
        <w:ind w:firstLine="321"/>
        <w:spacing w:before="0" w:after="0" w:line="520" w:lineRule="exact"/>
        <w:rPr>
          <w:rFonts w:hint="eastAsia" w:ascii="宋体" w:hAnsi="宋体" w:eastAsia="宋体" w:cs="宋体"/>
          <w:bCs/>
          <w:szCs w:val="22"/>
        </w:rPr>
      </w:pPr>
      <w:r/>
      <w:bookmarkStart w:id="88" w:name="_Toc959"/>
      <w:r/>
      <w:bookmarkStart w:id="89" w:name="_Toc20026"/>
      <w:r/>
      <w:bookmarkStart w:id="90" w:name="_Toc81575160"/>
      <w:r/>
      <w:bookmarkStart w:id="91" w:name="_Toc81575197"/>
      <w:r>
        <w:rPr>
          <w:rFonts w:hint="eastAsia" w:ascii="宋体" w:hAnsi="宋体" w:eastAsia="宋体" w:cs="宋体"/>
          <w:bCs/>
          <w:szCs w:val="22"/>
        </w:rPr>
        <w:t xml:space="preserve">五、开标、评标程序</w:t>
      </w:r>
      <w:bookmarkEnd w:id="88"/>
      <w:r/>
      <w:bookmarkEnd w:id="89"/>
      <w:r/>
      <w:bookmarkEnd w:id="90"/>
      <w:r/>
      <w:bookmarkEnd w:id="91"/>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16、评标委员会</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92"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开标结束后，采购人依法根据招标文件的规定对投标人的资格证明文件等进行审查。</w:t>
      </w:r>
      <w:bookmarkEnd w:id="92"/>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宋体" w:hAnsi="宋体" w:eastAsia="宋体" w:cs="宋体"/>
          <w:sz w:val="24"/>
        </w:rPr>
        <w:t xml:space="preserve">所谓重大偏离是指投标人投标文件中所述设备质量、技术规格、数量、交货期、服务等明显不能满足招标文件要求。</w:t>
      </w:r>
      <w:bookmarkEnd w:id="93"/>
      <w:r>
        <w:rPr>
          <w:rFonts w:hint="eastAsia" w:ascii="宋体" w:hAnsi="宋体" w:eastAsia="宋体" w:cs="宋体"/>
          <w:sz w:val="24"/>
        </w:rPr>
        <w:t xml:space="preserve">重大偏离的认定需经过评标委员会以少数服从多数的原则作出结论。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17.3未通过资格审查或符合性审查的投标人，采购代理机构将在“苏采云”系统中告知未通过资格审查或符合性审查的原因</w:t>
      </w:r>
      <w:r>
        <w:rPr>
          <w:rFonts w:hint="eastAsia" w:ascii="宋体" w:hAnsi="宋体" w:eastAsia="宋体" w:cs="宋体"/>
          <w:color w:val="ff0000"/>
          <w:sz w:val="24"/>
        </w:rPr>
        <w:t xml:space="preserve">。</w:t>
      </w:r>
      <w:r>
        <w:rPr>
          <w:rFonts w:hint="eastAsia" w:ascii="宋体" w:hAnsi="宋体" w:eastAsia="宋体" w:cs="宋体"/>
          <w:sz w:val="24"/>
        </w:rPr>
        <w:t xml:space="preserve">评标结束后，采购代理机构将不再告知未通过资格审查或符合性审查的原因。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17.5.3非单一产品采购项目，采购人确定核心产品，并在招标文件中载明。</w:t>
      </w:r>
      <w:bookmarkStart w:id="94" w:name="OLE_LINK10"/>
      <w:r>
        <w:rPr>
          <w:rFonts w:hint="eastAsia" w:ascii="宋体" w:hAnsi="宋体" w:eastAsia="宋体" w:cs="宋体"/>
          <w:sz w:val="24"/>
        </w:rPr>
        <w:t xml:space="preserve">多家投标人提供的核心产品品牌相同的，</w:t>
      </w:r>
      <w:bookmarkEnd w:id="94"/>
      <w:r>
        <w:rPr>
          <w:rFonts w:hint="eastAsia" w:ascii="宋体" w:hAnsi="宋体" w:eastAsia="宋体" w:cs="宋体"/>
          <w:sz w:val="24"/>
        </w:rPr>
        <w:t xml:space="preserve">按前两款规定处理。</w:t>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17.6.2投标文件报价出现前后不一致的，除招标文件另有规定外，按照下列规定修正：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17.7异常低价投标审查</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17.7.1评标过程中出现下列情形之一的，评标委员会应当启动异常低价投标审查程序：</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（1）投标报价低于全部通过符合性审查</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投标报价平均值50%的，即投标报价&lt;全部通过符合性审查</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投标报价平均值×50%；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（2）投标报价低于通过符合性审查的次低报价</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投标报价50%的，即投标报价&lt;通过符合性审查的次低报价</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投标报价×50%；</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（3）投标报价低于采购项目最高限价45%的，即投标报价&lt;采购项目最高限价×45%；</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（4）评标委员会基于专业判断，认为</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报价过低，有可能影响产品质量或者不能诚信履约的其他情形。</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17.7.2评标委员会启动异常低价投标审查后，属于前述第（1）项至第（4）项情形的，应当要求相关</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的合理时间一般不少于30分钟。其中，属于第（3）项情形，</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已随投标文件一并提交相关书面说明及必要的证明材料的，在评标现场可不再重复提交。</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000000"/>
          <w:sz w:val="24"/>
          <w:lang w:eastAsia="zh-CN"/>
        </w:rPr>
        <w:t xml:space="preserve">投标人</w:t>
      </w:r>
      <w:r>
        <w:rPr>
          <w:rFonts w:hint="eastAsia" w:ascii="宋体" w:hAnsi="宋体" w:eastAsia="宋体" w:cs="宋体"/>
          <w:color w:val="000000"/>
          <w:sz w:val="24"/>
        </w:rPr>
        <w:t xml:space="preserve">不能提供书面说明、证明材料，或者提供的书面说明、证明材料不能证明其报价合理性的，评标委员会应当将其作为无效投标处理。</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17.8比较</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17.9推荐中标候选人</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评标委员会按照招标文件中规定的评标方法和标准推荐中标候选人。</w:t>
      </w:r>
      <w:r/>
    </w:p>
    <w:p>
      <w:pPr>
        <w:pStyle w:val="814"/>
        <w:ind w:firstLine="321"/>
        <w:spacing w:before="0" w:after="0" w:line="480" w:lineRule="exact"/>
        <w:rPr>
          <w:rFonts w:hint="eastAsia" w:ascii="宋体" w:hAnsi="宋体" w:eastAsia="宋体" w:cs="宋体"/>
          <w:bCs/>
          <w:color w:val="000000"/>
          <w:szCs w:val="22"/>
        </w:rPr>
      </w:pPr>
      <w:r/>
      <w:bookmarkStart w:id="95" w:name="_Toc8841"/>
      <w:r/>
      <w:bookmarkStart w:id="96" w:name="_Toc81575159"/>
      <w:r/>
      <w:bookmarkStart w:id="97" w:name="_Toc8712"/>
      <w:r/>
      <w:bookmarkStart w:id="98" w:name="_Toc81575196"/>
      <w:r>
        <w:rPr>
          <w:rFonts w:hint="eastAsia" w:ascii="宋体" w:hAnsi="宋体" w:eastAsia="宋体" w:cs="宋体"/>
          <w:bCs/>
          <w:color w:val="000000"/>
          <w:szCs w:val="22"/>
        </w:rPr>
        <w:t xml:space="preserve">六、无效投标、废标、串通投标</w:t>
      </w:r>
      <w:bookmarkEnd w:id="95"/>
      <w:r/>
      <w:bookmarkEnd w:id="96"/>
      <w:r/>
      <w:bookmarkEnd w:id="97"/>
      <w:r/>
      <w:bookmarkEnd w:id="98"/>
      <w:r>
        <w:rPr>
          <w:rFonts w:hint="eastAsia" w:ascii="宋体" w:hAnsi="宋体" w:eastAsia="宋体" w:cs="宋体"/>
          <w:bCs/>
          <w:color w:val="000000"/>
          <w:szCs w:val="22"/>
        </w:rPr>
        <w:t xml:space="preserve">及取消中标候选人资格情形</w:t>
      </w:r>
      <w:r/>
    </w:p>
    <w:p>
      <w:p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18、无效投标情形</w:t>
      </w:r>
      <w:r/>
    </w:p>
    <w:p>
      <w:pPr>
        <w:ind w:firstLine="480"/>
        <w:spacing w:line="480" w:lineRule="exact"/>
        <w:rPr>
          <w:rFonts w:hint="eastAsia" w:ascii="宋体" w:hAnsi="宋体" w:eastAsia="宋体" w:cs="宋体"/>
          <w:strike/>
          <w:color w:val="000000"/>
          <w:sz w:val="24"/>
        </w:rPr>
      </w:pPr>
      <w:r>
        <w:rPr>
          <w:rFonts w:hint="eastAsia" w:ascii="宋体" w:hAnsi="宋体" w:eastAsia="宋体" w:cs="宋体"/>
          <w:color w:val="000000"/>
          <w:sz w:val="24"/>
        </w:rPr>
        <w:t xml:space="preserve">18.1投标人同一采购包提交两个（含两个）以上不同的投标报价的。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18.2投标人不符合招标文件规定资格要求的或未按规定提交资质证件的。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18.3投标人的报价超过了采购预算或最高限价的。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18.4投标文件未通过符合性审查的。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rPr>
        <w:t xml:space="preserve">18.5</w:t>
      </w:r>
      <w:r>
        <w:rPr>
          <w:rFonts w:hint="eastAsia" w:ascii="宋体" w:hAnsi="宋体" w:eastAsia="宋体" w:cs="宋体"/>
          <w:sz w:val="24"/>
        </w:rPr>
        <w:t xml:space="preserve">投标文件出现重大偏离，不符合招标文件中规定的实质性要求的（★部分为实质性要求）。</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18.7投标文件未按照招标文件要求加盖CA电子公章的。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18.8投标人有本招标文件规定的恶意串通投标情形的。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18.9投标文件含有采购人不能接受的附加条件的。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18.10其他法律、法规及本招标文件规定的属无效投标的情形。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19、废标情形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19.1符合专业条件的投标人或者对招标文件作实质响应的投标人不足三家的。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19.4评标委员会认定招标文件存在歧义、重大缺陷导致评审工作无法进行的。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19.5在“苏采云”系统规定时间内成功解密电子投标文件的投标人不足</w:t>
      </w:r>
      <w:r>
        <w:rPr>
          <w:rFonts w:hint="eastAsia" w:ascii="宋体" w:hAnsi="宋体" w:eastAsia="宋体" w:cs="宋体"/>
          <w:color w:val="ff0000"/>
          <w:sz w:val="24"/>
        </w:rPr>
        <w:t xml:space="preserve">三</w:t>
      </w:r>
      <w:r>
        <w:rPr>
          <w:rFonts w:hint="eastAsia" w:ascii="宋体" w:hAnsi="宋体" w:eastAsia="宋体" w:cs="宋体"/>
          <w:sz w:val="24"/>
        </w:rPr>
        <w:t xml:space="preserve">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20、投标人不足三家情形处理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投标截止后投标人不足三家或者通过资格审查或符合性审查的投标人不足</w:t>
      </w:r>
      <w:r>
        <w:rPr>
          <w:rFonts w:hint="eastAsia" w:ascii="宋体" w:hAnsi="宋体" w:eastAsia="宋体" w:cs="宋体"/>
          <w:color w:val="ff0000"/>
          <w:sz w:val="24"/>
        </w:rPr>
        <w:t xml:space="preserve">三</w:t>
      </w:r>
      <w:r>
        <w:rPr>
          <w:rFonts w:hint="eastAsia" w:ascii="宋体" w:hAnsi="宋体" w:eastAsia="宋体" w:cs="宋体"/>
          <w:sz w:val="24"/>
        </w:rPr>
        <w:t xml:space="preserve">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21.1投标人直接或间接从采购人或采购代理机构处获得其他投标人的投标情况，并修改其投标文件；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21.2评审活动开始前投标人直接或间接从采购人或采购代理机构处获得评标委员会组成人员情况；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21.3投标人接受采购人或采购代理机构授意撤换、修改投标文件；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21.4投标人之间协商投标报价、技术方案等投标文件实质性内容；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21.5属于同一集团、协会、商会等组织成员的投标人按照该组织要求协同投标；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21.6投标人之间事先约定由某一特定投标人中标、成交；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21.7投标人之间商定部分投标人放弃投标或者放弃中标、成交；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有下列情形之一的，视为投标人串通投标，其投标无效：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21.9不同投标人的投标文件由同一单位或者个人编制；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21.10不同投标人的电子投标文件由同一台电子设备编制、打包、加密或者上传；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21.11不同投标人委托同一单位或者个人办理投标事宜；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21.12不同投标人的投标文件载明的项目管理成员或者联系人员为同一人；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21.13不同投标人的投标文件异常一致或者投标报价呈规律性差异；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21.14不同投标人的投标文件相互混装；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21.15不同投标人的投标保证金从同一单位或者个人的账户转出。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w:t>
      </w:r>
      <w:bookmarkStart w:id="99" w:name="OLE_LINK4"/>
      <w:r>
        <w:rPr>
          <w:rFonts w:hint="eastAsia" w:ascii="宋体" w:hAnsi="宋体" w:eastAsia="宋体" w:cs="宋体"/>
          <w:b/>
          <w:sz w:val="24"/>
        </w:rPr>
        <w:t xml:space="preserve">取消中标候选人资格情形</w:t>
      </w:r>
      <w:bookmarkEnd w:id="99"/>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22.1提供虚假材料谋取中标的；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22.2采取不正当手段诋毁、排挤其他投标人的；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22.3与采购人、其他投标人或者采购代理机构恶意串通的；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22.6法律、法规规定的其它情况。</w:t>
      </w:r>
      <w:bookmarkStart w:id="100" w:name="_Toc81575161"/>
      <w:r/>
      <w:bookmarkStart w:id="101" w:name="_Toc6494"/>
      <w:r/>
      <w:bookmarkStart w:id="102" w:name="_Toc81575198"/>
      <w:r/>
      <w:bookmarkStart w:id="103" w:name="_Toc2391"/>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七、中标及合同签订</w:t>
      </w:r>
      <w:bookmarkEnd w:id="100"/>
      <w:r/>
      <w:bookmarkEnd w:id="101"/>
      <w:r/>
      <w:bookmarkEnd w:id="102"/>
      <w:r/>
      <w:bookmarkEnd w:id="103"/>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23、确定中标人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23.3采购人确定正被列为失信被执行人的投标人为中标人的，中标结果无效。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24.3采用综合评分法评审的，未中标人可于中标结果公告期限届满之日起通过“苏采云”系统查看</w:t>
      </w:r>
      <w:bookmarkStart w:id="104" w:name="OLE_LINK5"/>
      <w:r>
        <w:rPr>
          <w:rFonts w:hint="eastAsia" w:ascii="宋体" w:hAnsi="宋体" w:eastAsia="宋体" w:cs="宋体"/>
          <w:sz w:val="24"/>
        </w:rPr>
        <w:t xml:space="preserve">自己的评审得分及排序情况。</w:t>
      </w:r>
      <w:bookmarkEnd w:id="104"/>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25.2采购人在自合同签订之日起2个工作日内，将合同在指定的媒体上公告。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sz w:val="24"/>
          <w:szCs w:val="24"/>
        </w:rPr>
      </w:pPr>
      <w:r>
        <w:rPr>
          <w:rFonts w:hint="eastAsia" w:ascii="宋体" w:hAnsi="宋体" w:eastAsia="宋体" w:cs="宋体"/>
          <w:b/>
          <w:sz w:val="24"/>
        </w:rPr>
        <w:t xml:space="preserve">27、线上融资</w:t>
      </w:r>
      <w:r/>
    </w:p>
    <w:p>
      <w:pPr>
        <w:ind w:firstLine="480"/>
        <w:spacing w:line="480" w:lineRule="exact"/>
        <w:rPr>
          <w:rFonts w:hint="eastAsia" w:ascii="宋体" w:hAnsi="宋体" w:eastAsia="宋体" w:cs="宋体"/>
          <w:b/>
          <w:bCs/>
          <w:sz w:val="24"/>
          <w:szCs w:val="24"/>
        </w:rPr>
      </w:pPr>
      <w:r>
        <w:rPr>
          <w:rFonts w:hint="eastAsia" w:ascii="宋体" w:hAnsi="宋体" w:eastAsia="宋体" w:cs="宋体"/>
          <w:bCs/>
          <w:sz w:val="24"/>
          <w:szCs w:val="24"/>
        </w:rPr>
        <w:t xml:space="preserve">中标人可凭政府采购合同办理融资贷款，详情见江苏政府采购网“政采贷”专栏。</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宋体" w:hAnsi="宋体" w:eastAsia="宋体" w:cs="宋体"/>
          <w:color w:val="000000"/>
          <w:sz w:val="24"/>
        </w:rPr>
        <w:t xml:space="preserve">百分之十。</w:t>
      </w:r>
      <w:r/>
    </w:p>
    <w:p>
      <w:pPr>
        <w:pStyle w:val="814"/>
        <w:spacing w:before="0" w:after="0" w:line="520" w:lineRule="exact"/>
        <w:rPr>
          <w:rFonts w:hint="eastAsia" w:ascii="宋体" w:hAnsi="宋体" w:eastAsia="宋体" w:cs="宋体"/>
          <w:bCs/>
          <w:szCs w:val="22"/>
        </w:rPr>
      </w:pPr>
      <w:r/>
      <w:bookmarkStart w:id="105" w:name="_Toc81575162"/>
      <w:r/>
      <w:bookmarkStart w:id="106" w:name="_Toc81575199"/>
      <w:r/>
      <w:bookmarkStart w:id="107" w:name="_Toc22084"/>
      <w:r/>
      <w:bookmarkStart w:id="108" w:name="_Toc7550"/>
      <w:r>
        <w:rPr>
          <w:rFonts w:hint="eastAsia" w:ascii="宋体" w:hAnsi="宋体" w:eastAsia="宋体" w:cs="宋体"/>
          <w:bCs/>
          <w:szCs w:val="22"/>
        </w:rPr>
        <w:t xml:space="preserve">八、</w:t>
      </w:r>
      <w:bookmarkEnd w:id="105"/>
      <w:r/>
      <w:bookmarkEnd w:id="106"/>
      <w:r/>
      <w:bookmarkEnd w:id="107"/>
      <w:r/>
      <w:bookmarkEnd w:id="108"/>
      <w:r/>
      <w:bookmarkStart w:id="109" w:name="_Toc12263"/>
      <w:r/>
      <w:bookmarkStart w:id="110" w:name="_Toc31888"/>
      <w:r/>
      <w:bookmarkStart w:id="111" w:name="_Toc81575200"/>
      <w:r/>
      <w:bookmarkStart w:id="112" w:name="_Toc81575163"/>
      <w:r>
        <w:rPr>
          <w:rFonts w:hint="eastAsia" w:ascii="宋体" w:hAnsi="宋体" w:eastAsia="宋体" w:cs="宋体"/>
          <w:bCs/>
          <w:szCs w:val="22"/>
        </w:rPr>
        <w:t xml:space="preserve">质疑与投诉</w:t>
      </w:r>
      <w:bookmarkEnd w:id="109"/>
      <w:r/>
      <w:bookmarkEnd w:id="110"/>
      <w:r/>
      <w:bookmarkEnd w:id="111"/>
      <w:r/>
      <w:bookmarkEnd w:id="112"/>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29.1投标人认为采购文件、采购过程和中标结果使自己的权益受到损害的，可以在知道或者应知其权益受到损害之日起七个工作日内，</w:t>
      </w:r>
      <w:bookmarkStart w:id="113" w:name="OLE_LINK2"/>
      <w:r>
        <w:rPr>
          <w:rFonts w:hint="eastAsia" w:ascii="宋体" w:hAnsi="宋体" w:eastAsia="宋体" w:cs="宋体"/>
          <w:b/>
          <w:bCs/>
          <w:sz w:val="24"/>
        </w:rPr>
        <w:t xml:space="preserve">登录“苏采云”系统，从“项目质疑申请”模块向采购人</w:t>
      </w:r>
      <w:r>
        <w:rPr>
          <w:rFonts w:hint="eastAsia" w:ascii="宋体" w:hAnsi="宋体" w:eastAsia="宋体" w:cs="宋体"/>
          <w:b/>
          <w:bCs/>
          <w:sz w:val="24"/>
          <w:lang w:val="en-US" w:eastAsia="zh-CN"/>
        </w:rPr>
        <w:t xml:space="preserve">或采购代理机构</w:t>
      </w:r>
      <w:r>
        <w:rPr>
          <w:rFonts w:hint="eastAsia" w:ascii="宋体" w:hAnsi="宋体" w:eastAsia="宋体" w:cs="宋体"/>
          <w:b/>
          <w:bCs/>
          <w:sz w:val="24"/>
        </w:rPr>
        <w:t xml:space="preserve">提出质疑</w:t>
      </w:r>
      <w:bookmarkEnd w:id="113"/>
      <w:r>
        <w:rPr>
          <w:rFonts w:hint="eastAsia" w:ascii="宋体" w:hAnsi="宋体" w:eastAsia="宋体" w:cs="宋体"/>
          <w:b/>
          <w:bCs/>
          <w:sz w:val="24"/>
        </w:rPr>
        <w:t xml:space="preserve">。</w:t>
      </w:r>
      <w:bookmarkStart w:id="114" w:name="OLE_LINK1"/>
      <w:r>
        <w:rPr>
          <w:rFonts w:hint="eastAsia" w:ascii="宋体" w:hAnsi="宋体" w:eastAsia="宋体" w:cs="宋体"/>
          <w:sz w:val="24"/>
        </w:rPr>
        <w:t xml:space="preserve">质疑联系部门、联系电话、通讯地址详见采购公告。</w:t>
      </w:r>
      <w:bookmarkEnd w:id="114"/>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29.2投标人应知其权益受到损害之日，是指：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（3）对本项目中标结果提出质疑的，为中标结果公告期限届满之日。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29.4投标人提出质疑应当提交质疑函和必要的证明材料。质疑函的必备内容：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（1）投标人的姓名或者名称、地址、邮编、联系人及联系电话；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ind w:firstLine="480"/>
        <w:spacing w:line="480" w:lineRule="exact"/>
        <w:rPr>
          <w:rFonts w:hint="eastAsia" w:ascii="宋体" w:hAnsi="宋体" w:eastAsia="宋体" w:cs="宋体"/>
          <w:sz w:val="24"/>
        </w:rPr>
      </w:pPr>
      <w:r>
        <w:rPr>
          <w:rFonts w:hint="eastAsia" w:ascii="宋体" w:hAnsi="宋体" w:eastAsia="宋体" w:cs="宋体"/>
          <w:sz w:val="24"/>
        </w:rPr>
      </w:r>
      <w:r/>
    </w:p>
    <w:p>
      <w:pPr>
        <w:pStyle w:val="813"/>
        <w:jc w:val="center"/>
        <w:spacing w:before="200"/>
        <w:rPr>
          <w:rFonts w:hint="eastAsia" w:ascii="宋体" w:hAnsi="宋体" w:eastAsia="宋体" w:cs="宋体"/>
        </w:rPr>
      </w:pPr>
      <w:r/>
      <w:bookmarkStart w:id="115" w:name="EB4d341233595e4bf8ad7006b4bd78d974"/>
      <w:r/>
      <w:bookmarkEnd w:id="115"/>
      <w:r/>
      <w:bookmarkStart w:id="116" w:name="_Toc81575164"/>
      <w:r/>
      <w:bookmarkStart w:id="117" w:name="_Toc81575201"/>
      <w:r/>
      <w:bookmarkStart w:id="118" w:name="_Hlk166141273"/>
      <w:r>
        <w:rPr>
          <w:rFonts w:hint="eastAsia" w:ascii="宋体" w:hAnsi="宋体" w:eastAsia="宋体" w:cs="宋体"/>
        </w:rPr>
        <w:br w:type="page" w:clear="all"/>
      </w:r>
      <w:bookmarkStart w:id="119" w:name="_Toc17961"/>
      <w:r>
        <w:rPr>
          <w:rFonts w:hint="eastAsia" w:ascii="宋体" w:hAnsi="宋体" w:eastAsia="宋体" w:cs="宋体"/>
          <w:b/>
          <w:sz w:val="44"/>
          <w:szCs w:val="44"/>
        </w:rPr>
        <w:t xml:space="preserve">第三章资格审查及评标</w:t>
      </w:r>
      <w:bookmarkEnd w:id="116"/>
      <w:r/>
      <w:bookmarkEnd w:id="117"/>
      <w:r>
        <w:rPr>
          <w:rFonts w:hint="eastAsia" w:ascii="宋体" w:hAnsi="宋体" w:eastAsia="宋体" w:cs="宋体"/>
          <w:b/>
          <w:sz w:val="44"/>
          <w:szCs w:val="44"/>
        </w:rPr>
        <w:t xml:space="preserve">方法</w:t>
      </w:r>
      <w:bookmarkEnd w:id="119"/>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资格审查人员按照下列指标对各投标人的资格进行审查，未通过审查的为无效标，不参与评标。</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435"/>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资格审查因素</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投标函</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422"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信用信息</w:t>
            </w:r>
            <w:r/>
          </w:p>
        </w:tc>
        <w:tc>
          <w:tcPr>
            <w:tcW w:w="4246"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评标委员会对符合资格的投标人的投标文件进行符合性审查，未通过审查的为无效标，不再参与评审。</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符合性审查因素</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审查标准</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法人授权书</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szCs w:val="21"/>
                <w:shd w:val="clear" w:color="auto" w:fill="fafafa"/>
              </w:rPr>
              <w:t xml:space="preserve">开标一览表及投标报价</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szCs w:val="21"/>
                <w:shd w:val="clear" w:color="auto" w:fill="fafafa"/>
              </w:rPr>
            </w:pPr>
            <w:r>
              <w:rPr>
                <w:rFonts w:hint="eastAsia" w:ascii="宋体" w:hAnsi="宋体" w:eastAsia="宋体" w:cs="宋体"/>
                <w:szCs w:val="21"/>
                <w:shd w:val="clear" w:color="auto" w:fill="fafafa"/>
                <w:lang w:val="en-US" w:eastAsia="zh-CN"/>
              </w:rPr>
              <w:t xml:space="preserve">停车场场地承诺函</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r>
        <w:trPr/>
        <w:tc>
          <w:tcPr>
            <w:tcW w:w="436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其他</w:t>
            </w:r>
            <w:r/>
          </w:p>
        </w:tc>
        <w:tc>
          <w:tcPr>
            <w:tcW w:w="4304" w:type="dxa"/>
            <w:vAlign w:val="center"/>
            <w:textDirection w:val="lrTb"/>
            <w:noWrap w:val="false"/>
          </w:tcPr>
          <w:p>
            <w:pPr>
              <w:jc w:val="center"/>
              <w:spacing w:line="480" w:lineRule="exact"/>
              <w:rPr>
                <w:rFonts w:hint="eastAsia" w:ascii="宋体" w:hAnsi="宋体" w:eastAsia="宋体" w:cs="宋体"/>
              </w:rPr>
            </w:pPr>
            <w:r>
              <w:rPr>
                <w:rFonts w:hint="eastAsia" w:ascii="宋体" w:hAnsi="宋体" w:eastAsia="宋体" w:cs="宋体"/>
              </w:rPr>
              <w:t xml:space="preserve">符合招标文件要求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三、评标方法</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ind w:firstLine="480"/>
        <w:jc w:val="left"/>
        <w:spacing w:line="480" w:lineRule="exact"/>
        <w:rPr>
          <w:rFonts w:hint="eastAsia" w:ascii="宋体" w:hAnsi="宋体" w:eastAsia="宋体" w:cs="宋体"/>
          <w:color w:val="ff0000"/>
          <w:sz w:val="24"/>
        </w:rPr>
      </w:pPr>
      <w:r>
        <w:rPr>
          <w:rFonts w:hint="eastAsia" w:ascii="宋体" w:hAnsi="宋体" w:eastAsia="宋体" w:cs="宋体"/>
          <w:sz w:val="24"/>
        </w:rPr>
        <w:t xml:space="preserve">评标委员会根据评标后投标人排序推荐中标候选人，并形成评标报告。招标文件未规定的评标标准不得作为评标的依据。</w:t>
      </w:r>
      <w:r/>
    </w:p>
    <w:p>
      <w:pPr>
        <w:numPr>
          <w:ilvl w:val="0"/>
          <w:numId w:val="3"/>
        </w:num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评标标准</w:t>
      </w:r>
      <w:r/>
    </w:p>
    <w:tbl>
      <w:tblPr>
        <w:tblStyle w:val="787"/>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281"/>
        <w:gridCol w:w="6264"/>
      </w:tblGrid>
      <w:tr>
        <w:trPr>
          <w:jc w:val="center"/>
          <w:trHeight w:val="572"/>
        </w:trPr>
        <w:tc>
          <w:tcPr>
            <w:tcW w:w="1405" w:type="dxa"/>
            <w:vAlign w:val="center"/>
            <w:textDirection w:val="lrTb"/>
            <w:noWrap w:val="false"/>
          </w:tcPr>
          <w:p>
            <w:pPr>
              <w:jc w:val="center"/>
              <w:rPr>
                <w:rFonts w:hint="eastAsia" w:ascii="宋体" w:hAnsi="宋体" w:eastAsia="宋体" w:cs="宋体"/>
                <w:sz w:val="24"/>
                <w:szCs w:val="28"/>
                <w:lang w:val="en-US" w:eastAsia="zh-CN"/>
              </w:rPr>
            </w:pPr>
            <w:r/>
            <w:bookmarkStart w:id="120" w:name="RANGE!A1"/>
            <w:r>
              <w:rPr>
                <w:rFonts w:hint="eastAsia" w:ascii="宋体" w:hAnsi="宋体" w:eastAsia="宋体" w:cs="宋体"/>
                <w:sz w:val="24"/>
                <w:szCs w:val="28"/>
                <w:lang w:val="en-US" w:eastAsia="zh-CN"/>
              </w:rPr>
              <w:t xml:space="preserve">评审因素</w:t>
            </w:r>
            <w:bookmarkEnd w:id="120"/>
            <w:r/>
            <w:r/>
          </w:p>
        </w:tc>
        <w:tc>
          <w:tcPr>
            <w:tcW w:w="1281" w:type="dxa"/>
            <w:vAlign w:val="center"/>
            <w:textDirection w:val="lrTb"/>
            <w:noWrap w:val="false"/>
          </w:tcPr>
          <w:p>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分数</w:t>
            </w:r>
            <w:r/>
          </w:p>
        </w:tc>
        <w:tc>
          <w:tcPr>
            <w:tcW w:w="6264" w:type="dxa"/>
            <w:vAlign w:val="center"/>
            <w:textDirection w:val="lrTb"/>
            <w:noWrap w:val="false"/>
          </w:tcPr>
          <w:p>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评审标准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投标报价</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30.00分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bookmarkStart w:id="121" w:name="OLE_LINK13"/>
            <w:r>
              <w:rPr>
                <w:rFonts w:hint="eastAsia" w:ascii="宋体" w:hAnsi="宋体" w:eastAsia="宋体" w:cs="宋体"/>
                <w:sz w:val="24"/>
                <w:szCs w:val="28"/>
              </w:rPr>
              <w:t xml:space="preserve">采用低价优先法计算，即满足招标文件要求且投标</w:t>
            </w:r>
            <w:r>
              <w:rPr>
                <w:rFonts w:hint="eastAsia" w:ascii="宋体" w:hAnsi="宋体" w:eastAsia="宋体" w:cs="宋体"/>
                <w:sz w:val="24"/>
                <w:szCs w:val="28"/>
                <w:lang w:val="en-US" w:eastAsia="zh-CN"/>
              </w:rPr>
              <w:t xml:space="preserve">折扣</w:t>
            </w:r>
            <w:r>
              <w:rPr>
                <w:rFonts w:hint="eastAsia" w:ascii="宋体" w:hAnsi="宋体" w:eastAsia="宋体" w:cs="宋体"/>
                <w:sz w:val="24"/>
                <w:szCs w:val="28"/>
              </w:rPr>
              <w:t xml:space="preserve">最低的投标报价为评标基准价，其价格分为满分。其他投标人</w:t>
            </w:r>
            <w:r>
              <w:rPr>
                <w:rFonts w:hint="eastAsia" w:ascii="宋体" w:hAnsi="宋体" w:eastAsia="宋体" w:cs="宋体"/>
                <w:sz w:val="24"/>
                <w:szCs w:val="28"/>
                <w:lang w:val="en-US" w:eastAsia="zh-CN"/>
              </w:rPr>
              <w:t xml:space="preserve">投标报价</w:t>
            </w:r>
            <w:r>
              <w:rPr>
                <w:rFonts w:hint="eastAsia" w:ascii="宋体" w:hAnsi="宋体" w:eastAsia="宋体" w:cs="宋体"/>
                <w:sz w:val="24"/>
                <w:szCs w:val="28"/>
              </w:rPr>
              <w:t xml:space="preserve">得分＝（评标基准价/投标</w:t>
            </w:r>
            <w:r>
              <w:rPr>
                <w:rFonts w:hint="eastAsia" w:ascii="宋体" w:hAnsi="宋体" w:eastAsia="宋体" w:cs="宋体"/>
                <w:sz w:val="24"/>
                <w:szCs w:val="28"/>
                <w:lang w:val="en-US" w:eastAsia="zh-CN"/>
              </w:rPr>
              <w:t xml:space="preserve">折扣</w:t>
            </w:r>
            <w:r>
              <w:rPr>
                <w:rFonts w:hint="eastAsia" w:ascii="宋体" w:hAnsi="宋体" w:eastAsia="宋体" w:cs="宋体"/>
                <w:sz w:val="24"/>
                <w:szCs w:val="28"/>
              </w:rPr>
              <w:t xml:space="preserve">）*</w:t>
            </w:r>
            <w:r>
              <w:rPr>
                <w:rFonts w:hint="eastAsia" w:ascii="宋体" w:hAnsi="宋体" w:eastAsia="宋体" w:cs="宋体"/>
                <w:sz w:val="24"/>
                <w:szCs w:val="28"/>
                <w:lang w:val="en-US" w:eastAsia="zh-CN"/>
              </w:rPr>
              <w:t xml:space="preserve">30</w:t>
            </w:r>
            <w:r>
              <w:rPr>
                <w:rFonts w:hint="eastAsia" w:ascii="宋体" w:hAnsi="宋体" w:eastAsia="宋体" w:cs="宋体"/>
                <w:sz w:val="24"/>
                <w:szCs w:val="28"/>
              </w:rPr>
              <w:t xml:space="preserve">。</w:t>
            </w:r>
            <w:bookmarkEnd w:id="121"/>
            <w:r>
              <w:rPr>
                <w:rFonts w:hint="eastAsia" w:ascii="宋体" w:hAnsi="宋体" w:eastAsia="宋体" w:cs="宋体"/>
                <w:sz w:val="24"/>
                <w:szCs w:val="28"/>
              </w:rPr>
              <w:t xml:space="preserve">符合规定的小微企业（含监狱企业和残疾人福利单位）报价给予15%的扣除，用扣除后的价格参加评审。</w:t>
            </w:r>
            <w:r/>
          </w:p>
        </w:tc>
      </w:tr>
      <w:tr>
        <w:trPr>
          <w:jc w:val="center"/>
          <w:trHeight w:val="274"/>
        </w:trPr>
        <w:tc>
          <w:tcPr>
            <w:tcW w:w="1405"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涉案车辆拖车服务方案</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rPr>
                <w:rFonts w:hint="eastAsia" w:ascii="宋体" w:hAnsi="宋体" w:eastAsia="宋体" w:cs="宋体"/>
                <w:sz w:val="24"/>
                <w:szCs w:val="28"/>
              </w:rPr>
            </w:pPr>
            <w:r>
              <w:rPr>
                <w:rFonts w:hint="eastAsia" w:ascii="宋体" w:hAnsi="宋体" w:eastAsia="宋体" w:cs="宋体"/>
                <w:sz w:val="24"/>
                <w:szCs w:val="28"/>
                <w:lang w:eastAsia="zh-CN"/>
              </w:rPr>
              <w:t xml:space="preserve">根据投标人提供的</w:t>
            </w:r>
            <w:r>
              <w:rPr>
                <w:rFonts w:hint="eastAsia" w:ascii="宋体" w:hAnsi="宋体" w:eastAsia="宋体" w:cs="宋体"/>
                <w:sz w:val="24"/>
                <w:szCs w:val="28"/>
                <w:lang w:val="en-US" w:eastAsia="zh-CN"/>
              </w:rPr>
              <w:t xml:space="preserve">涉案车辆拖车服务方案</w:t>
            </w:r>
            <w:r>
              <w:rPr>
                <w:rFonts w:hint="eastAsia" w:ascii="宋体" w:hAnsi="宋体" w:eastAsia="宋体" w:cs="宋体"/>
                <w:sz w:val="24"/>
                <w:szCs w:val="28"/>
                <w:lang w:eastAsia="zh-CN"/>
              </w:rPr>
              <w:t xml:space="preserve">（包括</w:t>
            </w:r>
            <w:r>
              <w:rPr>
                <w:rFonts w:hint="eastAsia" w:ascii="宋体" w:hAnsi="宋体" w:eastAsia="宋体" w:cs="宋体"/>
                <w:sz w:val="24"/>
                <w:szCs w:val="28"/>
                <w:lang w:val="en-US" w:eastAsia="zh-CN"/>
              </w:rPr>
              <w:t xml:space="preserve">但不限于</w:t>
            </w:r>
            <w:r>
              <w:rPr>
                <w:rFonts w:hint="eastAsia" w:ascii="宋体" w:hAnsi="宋体" w:eastAsia="宋体" w:cs="宋体"/>
                <w:sz w:val="24"/>
                <w:szCs w:val="28"/>
                <w:lang w:eastAsia="zh-CN"/>
              </w:rPr>
              <w:t xml:space="preserve">车辆安排、设施设备安排、人员安排、报表台账等）等内容进行评分：优于采购需求的，得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lang w:eastAsia="zh-CN"/>
              </w:rPr>
              <w:t xml:space="preserve">分；满足采购需求的，得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lang w:eastAsia="zh-CN"/>
              </w:rPr>
              <w:t xml:space="preserve">分；其它情况或没有内容的不得分。</w:t>
            </w:r>
            <w:r/>
          </w:p>
        </w:tc>
      </w:tr>
      <w:tr>
        <w:trPr>
          <w:jc w:val="center"/>
          <w:trHeight w:val="274"/>
        </w:trPr>
        <w:tc>
          <w:tcPr>
            <w:tcW w:w="1405"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涉案车辆保管服务方案</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rPr>
                <w:rFonts w:hint="eastAsia" w:ascii="宋体" w:hAnsi="宋体" w:eastAsia="宋体" w:cs="宋体"/>
                <w:sz w:val="24"/>
                <w:szCs w:val="28"/>
              </w:rPr>
            </w:pPr>
            <w:r>
              <w:rPr>
                <w:rFonts w:hint="eastAsia" w:ascii="宋体" w:hAnsi="宋体" w:eastAsia="宋体" w:cs="宋体"/>
                <w:sz w:val="24"/>
                <w:szCs w:val="28"/>
                <w:lang w:eastAsia="zh-CN"/>
              </w:rPr>
              <w:t xml:space="preserve">根据投标人提供的</w:t>
            </w:r>
            <w:r>
              <w:rPr>
                <w:rFonts w:hint="eastAsia" w:ascii="宋体" w:hAnsi="宋体" w:eastAsia="宋体" w:cs="宋体"/>
                <w:sz w:val="24"/>
                <w:szCs w:val="28"/>
                <w:lang w:val="en-US" w:eastAsia="zh-CN"/>
              </w:rPr>
              <w:t xml:space="preserve">涉案车辆保管服务方案</w:t>
            </w:r>
            <w:r>
              <w:rPr>
                <w:rFonts w:hint="eastAsia" w:ascii="宋体" w:hAnsi="宋体" w:eastAsia="宋体" w:cs="宋体"/>
                <w:sz w:val="24"/>
                <w:szCs w:val="28"/>
                <w:lang w:eastAsia="zh-CN"/>
              </w:rPr>
              <w:t xml:space="preserve">（包括</w:t>
            </w:r>
            <w:r>
              <w:rPr>
                <w:rFonts w:hint="eastAsia" w:ascii="宋体" w:hAnsi="宋体" w:eastAsia="宋体" w:cs="宋体"/>
                <w:sz w:val="24"/>
                <w:szCs w:val="28"/>
                <w:lang w:val="en-US" w:eastAsia="zh-CN"/>
              </w:rPr>
              <w:t xml:space="preserve">但不限于</w:t>
            </w:r>
            <w:r>
              <w:rPr>
                <w:rFonts w:hint="eastAsia" w:ascii="宋体" w:hAnsi="宋体" w:eastAsia="宋体" w:cs="宋体"/>
                <w:sz w:val="24"/>
                <w:szCs w:val="28"/>
                <w:lang w:eastAsia="zh-CN"/>
              </w:rPr>
              <w:t xml:space="preserve">保管点硬化、区分隔离</w:t>
            </w:r>
            <w:r>
              <w:rPr>
                <w:rFonts w:hint="eastAsia" w:ascii="宋体" w:hAnsi="宋体" w:eastAsia="宋体" w:cs="宋体"/>
                <w:sz w:val="24"/>
                <w:szCs w:val="28"/>
                <w:lang w:val="en-US" w:eastAsia="zh-CN"/>
              </w:rPr>
              <w:t xml:space="preserve">方案、</w:t>
            </w:r>
            <w:r>
              <w:rPr>
                <w:rFonts w:hint="eastAsia" w:ascii="宋体" w:hAnsi="宋体" w:eastAsia="宋体" w:cs="宋体"/>
                <w:sz w:val="24"/>
                <w:szCs w:val="28"/>
                <w:lang w:eastAsia="zh-CN"/>
              </w:rPr>
              <w:t xml:space="preserve">监控设备覆盖、保存时间长</w:t>
            </w:r>
            <w:r>
              <w:rPr>
                <w:rFonts w:hint="eastAsia" w:ascii="宋体" w:hAnsi="宋体" w:eastAsia="宋体" w:cs="宋体"/>
                <w:sz w:val="24"/>
                <w:szCs w:val="28"/>
                <w:lang w:val="en-US" w:eastAsia="zh-CN"/>
              </w:rPr>
              <w:t xml:space="preserve">方案、</w:t>
            </w:r>
            <w:r>
              <w:rPr>
                <w:rFonts w:hint="eastAsia" w:ascii="宋体" w:hAnsi="宋体" w:eastAsia="宋体" w:cs="宋体"/>
                <w:sz w:val="24"/>
                <w:szCs w:val="28"/>
                <w:lang w:eastAsia="zh-CN"/>
              </w:rPr>
              <w:t xml:space="preserve">消防设施</w:t>
            </w:r>
            <w:r>
              <w:rPr>
                <w:rFonts w:hint="eastAsia" w:ascii="宋体" w:hAnsi="宋体" w:eastAsia="宋体" w:cs="宋体"/>
                <w:sz w:val="24"/>
                <w:szCs w:val="28"/>
                <w:lang w:val="en-US" w:eastAsia="zh-CN"/>
              </w:rPr>
              <w:t xml:space="preserve">等</w:t>
            </w:r>
            <w:r>
              <w:rPr>
                <w:rFonts w:hint="eastAsia" w:ascii="宋体" w:hAnsi="宋体" w:eastAsia="宋体" w:cs="宋体"/>
                <w:sz w:val="24"/>
                <w:szCs w:val="28"/>
                <w:lang w:eastAsia="zh-CN"/>
              </w:rPr>
              <w:t xml:space="preserve">）等内容进行评分：优于采购需求的，得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lang w:eastAsia="zh-CN"/>
              </w:rPr>
              <w:t xml:space="preserve">分；满足采购需求的，得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lang w:eastAsia="zh-CN"/>
              </w:rPr>
              <w:t xml:space="preserve">分；其它情况或没有内容的不得分。</w:t>
            </w:r>
            <w:r/>
          </w:p>
        </w:tc>
      </w:tr>
      <w:tr>
        <w:trPr>
          <w:jc w:val="center"/>
          <w:trHeight w:val="274"/>
        </w:trPr>
        <w:tc>
          <w:tcPr>
            <w:shd w:val="clear" w:color="auto" w:fill="auto"/>
            <w:tcW w:w="1405" w:type="dxa"/>
            <w:vAlign w:val="center"/>
            <w:textDirection w:val="lrTb"/>
            <w:noWrap w:val="false"/>
          </w:tcPr>
          <w:p>
            <w:pPr>
              <w:jc w:val="left"/>
              <w:rPr>
                <w:rFonts w:hint="eastAsia" w:ascii="宋体" w:hAnsi="宋体" w:eastAsia="宋体" w:cs="宋体"/>
                <w:sz w:val="24"/>
                <w:szCs w:val="28"/>
                <w:lang w:val="en-US" w:eastAsia="zh-CN" w:bidi="ar-SA"/>
              </w:rPr>
            </w:pPr>
            <w:r>
              <w:rPr>
                <w:rFonts w:hint="eastAsia" w:ascii="宋体" w:hAnsi="宋体" w:cs="宋体"/>
                <w:sz w:val="24"/>
                <w:szCs w:val="28"/>
                <w:lang w:val="en-US" w:eastAsia="zh-CN"/>
              </w:rPr>
              <w:t xml:space="preserve">综合实力</w:t>
            </w:r>
            <w:r/>
          </w:p>
        </w:tc>
        <w:tc>
          <w:tcPr>
            <w:shd w:val="clear" w:color="auto" w:fill="auto"/>
            <w:tcW w:w="1281" w:type="dxa"/>
            <w:vAlign w:val="center"/>
            <w:textDirection w:val="lrTb"/>
            <w:noWrap w:val="false"/>
          </w:tcPr>
          <w:p>
            <w:pPr>
              <w:jc w:val="left"/>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rPr>
              <w:t xml:space="preserve">24.00分</w:t>
            </w:r>
            <w:r/>
          </w:p>
        </w:tc>
        <w:tc>
          <w:tcPr>
            <w:tcW w:w="6264"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1、</w:t>
            </w:r>
            <w:r>
              <w:rPr>
                <w:rFonts w:hint="eastAsia" w:ascii="宋体" w:hAnsi="宋体" w:eastAsia="宋体" w:cs="宋体"/>
                <w:sz w:val="24"/>
                <w:szCs w:val="28"/>
                <w:lang w:val="en-US" w:eastAsia="zh-CN"/>
              </w:rPr>
              <w:t xml:space="preserve">投标人拟投入本项目的服务人员在满足采购需求的基础上，每增加1人得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分，本项最高得6分【注：提供2026年1月（含）以来投标人为其缴纳的任意一个月社保证明电子件（以社保主管部门出具的证明材料为准）】。</w:t>
            </w:r>
            <w:r/>
          </w:p>
          <w:p>
            <w:pPr>
              <w:rPr>
                <w:rFonts w:hint="default" w:ascii="宋体" w:hAnsi="宋体" w:eastAsia="宋体" w:cs="宋体"/>
                <w:sz w:val="24"/>
                <w:szCs w:val="28"/>
                <w:lang w:val="en-US" w:eastAsia="zh-CN"/>
              </w:rPr>
            </w:pP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投标人拟派的人员中具有B2证（含）以上驾驶资格，每有1人得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分，本项最高得</w:t>
            </w:r>
            <w:r>
              <w:rPr>
                <w:rFonts w:hint="eastAsia" w:ascii="宋体" w:hAnsi="宋体" w:cs="宋体"/>
                <w:sz w:val="24"/>
                <w:szCs w:val="28"/>
                <w:lang w:val="en-US" w:eastAsia="zh-CN"/>
              </w:rPr>
              <w:t xml:space="preserve">6</w:t>
            </w:r>
            <w:r>
              <w:rPr>
                <w:rFonts w:hint="eastAsia" w:ascii="宋体" w:hAnsi="宋体" w:eastAsia="宋体" w:cs="宋体"/>
                <w:sz w:val="24"/>
                <w:szCs w:val="28"/>
                <w:lang w:val="en-US" w:eastAsia="zh-CN"/>
              </w:rPr>
              <w:t xml:space="preserve">分。（注：提供驾驶证及2026年1月（含）以来投标人为其缴纳的任意一个月社保证明电子件（以社保主管部门出具的证明材料为准）</w:t>
            </w:r>
            <w:r/>
          </w:p>
          <w:p>
            <w:pP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3、投标人拟投入本项目的清障车辆在满足采购需求的基础上，每增加1辆得</w:t>
            </w:r>
            <w:r>
              <w:rPr>
                <w:rFonts w:hint="eastAsia" w:ascii="宋体" w:hAnsi="宋体" w:cs="宋体"/>
                <w:sz w:val="24"/>
                <w:szCs w:val="28"/>
                <w:lang w:val="en-US" w:eastAsia="zh-CN"/>
              </w:rPr>
              <w:t xml:space="preserve">2</w:t>
            </w:r>
            <w:r>
              <w:rPr>
                <w:rFonts w:hint="eastAsia" w:ascii="宋体" w:hAnsi="宋体" w:eastAsia="宋体" w:cs="宋体"/>
                <w:sz w:val="24"/>
                <w:szCs w:val="28"/>
                <w:lang w:val="en-US" w:eastAsia="zh-CN"/>
              </w:rPr>
              <w:t xml:space="preserve">分，本项最高得</w:t>
            </w:r>
            <w:r>
              <w:rPr>
                <w:rFonts w:hint="eastAsia" w:ascii="宋体" w:hAnsi="宋体" w:cs="宋体"/>
                <w:sz w:val="24"/>
                <w:szCs w:val="28"/>
                <w:lang w:val="en-US" w:eastAsia="zh-CN"/>
              </w:rPr>
              <w:t xml:space="preserve">6</w:t>
            </w:r>
            <w:r>
              <w:rPr>
                <w:rFonts w:hint="eastAsia" w:ascii="宋体" w:hAnsi="宋体" w:eastAsia="宋体" w:cs="宋体"/>
                <w:sz w:val="24"/>
                <w:szCs w:val="28"/>
                <w:lang w:val="en-US" w:eastAsia="zh-CN"/>
              </w:rPr>
              <w:t xml:space="preserve">分。【注：如车辆所有权为投标人，应提供（购车发票或车辆行驶证）原件电子件；如使用租赁车辆，应提供车辆行驶证原件电子件、租赁协议（或其他能够证明投标人拥有车辆使用权的证明材料）原件电子件】。</w:t>
            </w:r>
            <w:r/>
          </w:p>
          <w:p>
            <w:pPr>
              <w:rPr>
                <w:rFonts w:hint="eastAsia" w:ascii="宋体" w:hAnsi="宋体" w:eastAsia="宋体" w:cs="宋体"/>
                <w:sz w:val="24"/>
                <w:szCs w:val="28"/>
                <w:lang w:eastAsia="zh-CN"/>
              </w:rPr>
            </w:pPr>
            <w:r>
              <w:rPr>
                <w:rFonts w:hint="eastAsia" w:ascii="宋体" w:hAnsi="宋体" w:eastAsia="宋体" w:cs="宋体"/>
                <w:sz w:val="24"/>
                <w:szCs w:val="28"/>
                <w:lang w:val="en-US" w:eastAsia="zh-CN"/>
              </w:rPr>
              <w:t xml:space="preserve">4、投标人</w:t>
            </w:r>
            <w:r>
              <w:rPr>
                <w:rFonts w:hint="eastAsia" w:ascii="宋体" w:hAnsi="宋体" w:eastAsia="宋体" w:cs="宋体"/>
                <w:sz w:val="24"/>
                <w:szCs w:val="28"/>
              </w:rPr>
              <w:t xml:space="preserve">为停车场办理相应责任险种，保单金额≥1000万元得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rPr>
              <w:t xml:space="preserve">分；保单金额在</w:t>
            </w:r>
            <w:r>
              <w:rPr>
                <w:rFonts w:hint="eastAsia" w:ascii="宋体" w:hAnsi="宋体" w:eastAsia="宋体" w:cs="宋体"/>
                <w:sz w:val="24"/>
                <w:szCs w:val="28"/>
                <w:lang w:val="en-US" w:eastAsia="zh-CN"/>
              </w:rPr>
              <w:t xml:space="preserve">800</w:t>
            </w:r>
            <w:r>
              <w:rPr>
                <w:rFonts w:hint="eastAsia" w:ascii="宋体" w:hAnsi="宋体" w:eastAsia="宋体" w:cs="宋体"/>
                <w:sz w:val="24"/>
                <w:szCs w:val="28"/>
              </w:rPr>
              <w:t xml:space="preserve">（含）-1000（不含）万元得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rPr>
              <w:t xml:space="preserve">分；保单金额在</w:t>
            </w:r>
            <w:r>
              <w:rPr>
                <w:rFonts w:hint="eastAsia" w:ascii="宋体" w:hAnsi="宋体" w:eastAsia="宋体" w:cs="宋体"/>
                <w:sz w:val="24"/>
                <w:szCs w:val="28"/>
                <w:lang w:val="en-US" w:eastAsia="zh-CN"/>
              </w:rPr>
              <w:t xml:space="preserve">65</w:t>
            </w:r>
            <w:r>
              <w:rPr>
                <w:rFonts w:hint="eastAsia" w:ascii="宋体" w:hAnsi="宋体" w:eastAsia="宋体" w:cs="宋体"/>
                <w:sz w:val="24"/>
                <w:szCs w:val="28"/>
              </w:rPr>
              <w:t xml:space="preserve">0（含）-</w:t>
            </w:r>
            <w:r>
              <w:rPr>
                <w:rFonts w:hint="eastAsia" w:ascii="宋体" w:hAnsi="宋体" w:eastAsia="宋体" w:cs="宋体"/>
                <w:sz w:val="24"/>
                <w:szCs w:val="28"/>
                <w:lang w:val="en-US" w:eastAsia="zh-CN"/>
              </w:rPr>
              <w:t xml:space="preserve">800</w:t>
            </w:r>
            <w:r>
              <w:rPr>
                <w:rFonts w:hint="eastAsia" w:ascii="宋体" w:hAnsi="宋体" w:eastAsia="宋体" w:cs="宋体"/>
                <w:sz w:val="24"/>
                <w:szCs w:val="28"/>
              </w:rPr>
              <w:t xml:space="preserve">（不含）万元得</w:t>
            </w:r>
            <w:r>
              <w:rPr>
                <w:rFonts w:hint="eastAsia" w:ascii="宋体" w:hAnsi="宋体" w:eastAsia="宋体" w:cs="宋体"/>
                <w:sz w:val="24"/>
                <w:szCs w:val="28"/>
                <w:lang w:val="en-US" w:eastAsia="zh-CN"/>
              </w:rPr>
              <w:t xml:space="preserve">2</w:t>
            </w:r>
            <w:r>
              <w:rPr>
                <w:rFonts w:hint="eastAsia" w:ascii="宋体" w:hAnsi="宋体" w:eastAsia="宋体" w:cs="宋体"/>
                <w:sz w:val="24"/>
                <w:szCs w:val="28"/>
              </w:rPr>
              <w:t xml:space="preserve">分（</w:t>
            </w:r>
            <w:r>
              <w:rPr>
                <w:rFonts w:hint="eastAsia" w:ascii="宋体" w:hAnsi="宋体" w:eastAsia="宋体" w:cs="宋体"/>
                <w:sz w:val="24"/>
                <w:szCs w:val="28"/>
                <w:lang w:val="en-US" w:eastAsia="zh-CN"/>
              </w:rPr>
              <w:t xml:space="preserve">提供承诺书，格式自拟。</w:t>
            </w:r>
            <w:r>
              <w:rPr>
                <w:rFonts w:hint="eastAsia" w:ascii="宋体" w:hAnsi="宋体" w:eastAsia="宋体" w:cs="宋体"/>
                <w:sz w:val="24"/>
                <w:szCs w:val="28"/>
              </w:rPr>
              <w:t xml:space="preserve">承诺内容要体现保额，保险内容包含但不限于：火灾公责险、盗抢险等，否则视为未提供。）</w:t>
            </w:r>
            <w:r/>
          </w:p>
        </w:tc>
      </w:tr>
      <w:tr>
        <w:trPr>
          <w:jc w:val="center"/>
          <w:trHeight w:val="274"/>
        </w:trPr>
        <w:tc>
          <w:tcPr>
            <w:tcW w:w="1405"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sz w:val="24"/>
                <w:szCs w:val="28"/>
                <w:rtl w:val="0"/>
                <w:lang w:val="en-US" w:eastAsia="zh-CN"/>
              </w:rPr>
              <w:t xml:space="preserve">企业业绩</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9.00分</w:t>
            </w:r>
            <w:r/>
          </w:p>
        </w:tc>
        <w:tc>
          <w:tcPr>
            <w:tcW w:w="6264"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rPr>
              <w:t xml:space="preserve">投标人自202</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年1月1日（以合同签订时间为准）以来，承担过与本项目类似业绩，每提供一个得</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分，最多得</w:t>
            </w:r>
            <w:r>
              <w:rPr>
                <w:rFonts w:hint="eastAsia" w:ascii="宋体" w:hAnsi="宋体" w:eastAsia="宋体" w:cs="宋体"/>
                <w:sz w:val="24"/>
                <w:szCs w:val="28"/>
                <w:lang w:val="en-US" w:eastAsia="zh-CN"/>
              </w:rPr>
              <w:t xml:space="preserve">9</w:t>
            </w:r>
            <w:r>
              <w:rPr>
                <w:rFonts w:hint="eastAsia" w:ascii="宋体" w:hAnsi="宋体" w:eastAsia="宋体" w:cs="宋体"/>
                <w:sz w:val="24"/>
                <w:szCs w:val="28"/>
              </w:rPr>
              <w:t xml:space="preserve">分。</w:t>
            </w:r>
            <w:r/>
          </w:p>
          <w:p>
            <w:pPr>
              <w:jc w:val="left"/>
              <w:rPr>
                <w:rFonts w:hint="eastAsia" w:ascii="宋体" w:hAnsi="宋体" w:eastAsia="宋体" w:cs="宋体"/>
                <w:sz w:val="24"/>
                <w:szCs w:val="28"/>
                <w:lang w:val="en-US" w:eastAsia="zh-CN"/>
              </w:rPr>
            </w:pPr>
            <w:r>
              <w:rPr>
                <w:rFonts w:hint="eastAsia" w:ascii="宋体" w:hAnsi="宋体" w:eastAsia="宋体" w:cs="宋体"/>
                <w:color w:val="000000"/>
                <w:sz w:val="24"/>
              </w:rPr>
              <w:t xml:space="preserve">注：1.投标文件中须同时提供中标（成交）通知书、合同（主要内容、标的、数量清晰可见）、验收合格证明材料以及合同期内的任意一张发票原件电子件。未提供或提供不全的不得分。</w:t>
            </w:r>
            <w:r/>
          </w:p>
        </w:tc>
      </w:tr>
      <w:tr>
        <w:trPr>
          <w:jc w:val="center"/>
          <w:trHeight w:val="274"/>
        </w:trPr>
        <w:tc>
          <w:tcPr>
            <w:shd w:val="clear" w:color="auto" w:fill="auto"/>
            <w:tcW w:w="1405" w:type="dxa"/>
            <w:vAlign w:val="center"/>
            <w:textDirection w:val="lrTb"/>
            <w:noWrap w:val="false"/>
          </w:tcPr>
          <w:p>
            <w:pPr>
              <w:jc w:val="left"/>
              <w:rPr>
                <w:rFonts w:hint="eastAsia" w:ascii="宋体" w:hAnsi="宋体" w:eastAsia="宋体" w:cs="宋体"/>
                <w:sz w:val="24"/>
                <w:szCs w:val="28"/>
                <w:rtl w:val="0"/>
                <w:lang w:val="en-US" w:eastAsia="zh-CN" w:bidi="ar-SA"/>
              </w:rPr>
            </w:pPr>
            <w:r>
              <w:rPr>
                <w:rFonts w:hint="eastAsia" w:ascii="宋体" w:hAnsi="宋体" w:eastAsia="宋体" w:cs="宋体"/>
                <w:sz w:val="24"/>
                <w:szCs w:val="28"/>
                <w:lang w:val="en-US" w:eastAsia="zh-CN"/>
              </w:rPr>
              <w:t xml:space="preserve">相关证书</w:t>
            </w:r>
            <w:r/>
          </w:p>
        </w:tc>
        <w:tc>
          <w:tcPr>
            <w:shd w:val="clear" w:color="auto" w:fill="auto"/>
            <w:tcW w:w="1281" w:type="dxa"/>
            <w:vAlign w:val="center"/>
            <w:textDirection w:val="lrTb"/>
            <w:noWrap w:val="false"/>
          </w:tcPr>
          <w:p>
            <w:pPr>
              <w:jc w:val="left"/>
              <w:rPr>
                <w:rFonts w:hint="eastAsia" w:ascii="宋体" w:hAnsi="宋体" w:eastAsia="宋体" w:cs="宋体"/>
                <w:sz w:val="24"/>
                <w:szCs w:val="28"/>
                <w:lang w:val="en-US" w:eastAsia="zh-CN" w:bidi="ar-SA"/>
              </w:rPr>
            </w:pPr>
            <w:r>
              <w:rPr>
                <w:rFonts w:hint="eastAsia" w:ascii="宋体" w:hAnsi="宋体" w:eastAsia="宋体" w:cs="宋体"/>
                <w:sz w:val="24"/>
                <w:szCs w:val="28"/>
                <w:lang w:val="en-US" w:eastAsia="zh-CN"/>
              </w:rPr>
              <w:t xml:space="preserve">3.00分</w:t>
            </w:r>
            <w:r/>
          </w:p>
        </w:tc>
        <w:tc>
          <w:tcPr>
            <w:shd w:val="clear" w:color="auto" w:fill="auto"/>
            <w:tcW w:w="6264" w:type="dxa"/>
            <w:vAlign w:val="center"/>
            <w:textDirection w:val="lrTb"/>
            <w:noWrap w:val="false"/>
          </w:tcPr>
          <w:p>
            <w:pPr>
              <w:jc w:val="left"/>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投标人</w:t>
            </w:r>
            <w:r>
              <w:rPr>
                <w:rFonts w:hint="eastAsia" w:ascii="宋体" w:hAnsi="宋体" w:eastAsia="宋体" w:cs="宋体"/>
                <w:sz w:val="24"/>
                <w:szCs w:val="28"/>
              </w:rPr>
              <w:t xml:space="preserve">具有有效期内质量管理体系认证证书、职业健康安全管理体系认证证书、环境管理体系认证证书的，每有一项得</w:t>
            </w:r>
            <w:r>
              <w:rPr>
                <w:rFonts w:hint="eastAsia" w:ascii="宋体" w:hAnsi="宋体" w:eastAsia="宋体" w:cs="宋体"/>
                <w:sz w:val="24"/>
                <w:szCs w:val="28"/>
                <w:lang w:val="en-US" w:eastAsia="zh-CN"/>
              </w:rPr>
              <w:t xml:space="preserve">1</w:t>
            </w:r>
            <w:r>
              <w:rPr>
                <w:rFonts w:hint="eastAsia" w:ascii="宋体" w:hAnsi="宋体" w:eastAsia="宋体" w:cs="宋体"/>
                <w:sz w:val="24"/>
                <w:szCs w:val="28"/>
              </w:rPr>
              <w:t xml:space="preserve">分，最高得</w:t>
            </w:r>
            <w:r>
              <w:rPr>
                <w:rFonts w:hint="eastAsia" w:ascii="宋体" w:hAnsi="宋体" w:eastAsia="宋体" w:cs="宋体"/>
                <w:sz w:val="24"/>
                <w:szCs w:val="28"/>
                <w:lang w:val="en-US" w:eastAsia="zh-CN"/>
              </w:rPr>
              <w:t xml:space="preserve">3</w:t>
            </w:r>
            <w:r>
              <w:rPr>
                <w:rFonts w:hint="eastAsia" w:ascii="宋体" w:hAnsi="宋体" w:eastAsia="宋体" w:cs="宋体"/>
                <w:sz w:val="24"/>
                <w:szCs w:val="28"/>
              </w:rPr>
              <w:t xml:space="preserve">分。</w:t>
            </w:r>
            <w:r/>
          </w:p>
          <w:p>
            <w:pPr>
              <w:jc w:val="left"/>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注：1、响应文件中同时提供证书电子件和在国家市场监督管理总局全国认证认可信息公共服务平台查询认证有效的页面截图，未提供的不得分；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sz w:val="24"/>
                <w:szCs w:val="28"/>
                <w:lang w:eastAsia="zh-CN"/>
              </w:rPr>
              <w:t xml:space="preserve">保密措施</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根据投标人提供的保密措施方案</w:t>
            </w:r>
            <w:r>
              <w:rPr>
                <w:rFonts w:hint="eastAsia" w:ascii="宋体" w:hAnsi="宋体" w:eastAsia="宋体" w:cs="宋体"/>
                <w:sz w:val="24"/>
                <w:szCs w:val="28"/>
                <w:lang w:eastAsia="zh-CN"/>
              </w:rPr>
              <w:t xml:space="preserve">包括</w:t>
            </w:r>
            <w:r>
              <w:rPr>
                <w:rFonts w:hint="eastAsia" w:ascii="宋体" w:hAnsi="宋体" w:eastAsia="宋体" w:cs="宋体"/>
                <w:sz w:val="24"/>
                <w:szCs w:val="28"/>
                <w:lang w:val="en-US" w:eastAsia="zh-CN"/>
              </w:rPr>
              <w:t xml:space="preserve">但不限于</w:t>
            </w:r>
            <w:r>
              <w:rPr>
                <w:rFonts w:hint="eastAsia" w:ascii="宋体" w:hAnsi="宋体" w:eastAsia="宋体" w:cs="宋体"/>
                <w:sz w:val="24"/>
                <w:szCs w:val="28"/>
                <w:lang w:eastAsia="zh-CN"/>
              </w:rPr>
              <w:t xml:space="preserve">保密制度、</w:t>
            </w:r>
            <w:r>
              <w:rPr>
                <w:rFonts w:hint="eastAsia" w:ascii="宋体" w:hAnsi="宋体" w:eastAsia="宋体" w:cs="宋体"/>
                <w:sz w:val="24"/>
                <w:szCs w:val="28"/>
                <w:lang w:val="en-US" w:eastAsia="zh-CN"/>
              </w:rPr>
              <w:t xml:space="preserve">使</w:t>
            </w:r>
            <w:r>
              <w:rPr>
                <w:rFonts w:hint="eastAsia" w:ascii="宋体" w:hAnsi="宋体" w:eastAsia="宋体" w:cs="宋体"/>
                <w:color w:val="000000"/>
                <w:sz w:val="24"/>
                <w:szCs w:val="24"/>
                <w:lang w:val="en-US" w:eastAsia="zh-CN"/>
              </w:rPr>
              <w:t xml:space="preserve">车辆信息资料不被泄露、行政文件资料等档案的建立等内容进行评分，优</w:t>
            </w:r>
            <w:r>
              <w:rPr>
                <w:rFonts w:hint="eastAsia" w:ascii="宋体" w:hAnsi="宋体" w:eastAsia="宋体" w:cs="宋体"/>
                <w:sz w:val="24"/>
                <w:szCs w:val="28"/>
                <w:lang w:val="en-US" w:eastAsia="zh-CN"/>
              </w:rPr>
              <w:t xml:space="preserve">于采购需求得6分；满足采购需求得4分；没有内容不得分。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sz w:val="24"/>
                <w:szCs w:val="28"/>
                <w:rtl w:val="0"/>
                <w:lang w:val="en-US" w:eastAsia="zh-CN"/>
              </w:rPr>
              <w:t xml:space="preserve">管理制度</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5.00分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eastAsia="zh-CN"/>
              </w:rPr>
              <w:t xml:space="preserve">根据投标人提供的管理制度内容进行评分，优于采购需求的，得5分；满足采购需求的，得3分；其它情况或没有内容的不得分。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rtl w:val="0"/>
                <w:lang w:val="en-US" w:eastAsia="zh-CN"/>
              </w:rPr>
            </w:pPr>
            <w:r>
              <w:rPr>
                <w:rFonts w:hint="eastAsia" w:ascii="宋体" w:hAnsi="宋体" w:eastAsia="宋体" w:cs="宋体"/>
                <w:sz w:val="24"/>
                <w:szCs w:val="28"/>
                <w:lang w:val="en-US" w:eastAsia="zh-CN"/>
              </w:rPr>
              <w:t xml:space="preserve">应急预案</w:t>
            </w:r>
            <w:r/>
          </w:p>
        </w:tc>
        <w:tc>
          <w:tcPr>
            <w:tcW w:w="1281"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6.00分</w:t>
            </w:r>
            <w:r/>
          </w:p>
        </w:tc>
        <w:tc>
          <w:tcPr>
            <w:tcW w:w="6264"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rPr>
              <w:t xml:space="preserve">根据投标人提供的应急</w:t>
            </w:r>
            <w:r>
              <w:rPr>
                <w:rFonts w:hint="eastAsia" w:ascii="宋体" w:hAnsi="宋体" w:eastAsia="宋体" w:cs="宋体"/>
                <w:sz w:val="24"/>
                <w:szCs w:val="28"/>
                <w:lang w:val="en-US" w:eastAsia="zh-CN"/>
              </w:rPr>
              <w:t xml:space="preserve">预案</w:t>
            </w:r>
            <w:r>
              <w:rPr>
                <w:rFonts w:hint="eastAsia" w:ascii="宋体" w:hAnsi="宋体" w:eastAsia="宋体" w:cs="宋体"/>
                <w:sz w:val="24"/>
                <w:szCs w:val="28"/>
              </w:rPr>
              <w:t xml:space="preserve">（包括但不限于突发事件应急处理预案及措施，应急响应时间，人员调配，操作流程等）等内容进行评分</w:t>
            </w:r>
            <w:r>
              <w:rPr>
                <w:rFonts w:hint="eastAsia" w:ascii="宋体" w:hAnsi="宋体" w:eastAsia="宋体" w:cs="宋体"/>
                <w:sz w:val="24"/>
                <w:szCs w:val="28"/>
                <w:lang w:val="en-US" w:eastAsia="zh-CN"/>
              </w:rPr>
              <w:t xml:space="preserve">，</w:t>
            </w:r>
            <w:r>
              <w:rPr>
                <w:rFonts w:hint="eastAsia" w:ascii="宋体" w:hAnsi="宋体" w:eastAsia="宋体" w:cs="宋体"/>
                <w:sz w:val="24"/>
                <w:szCs w:val="28"/>
              </w:rPr>
              <w:t xml:space="preserve">优于采购需求的，得</w:t>
            </w:r>
            <w:r>
              <w:rPr>
                <w:rFonts w:hint="eastAsia" w:ascii="宋体" w:hAnsi="宋体" w:eastAsia="宋体" w:cs="宋体"/>
                <w:sz w:val="24"/>
                <w:szCs w:val="28"/>
                <w:lang w:val="en-US" w:eastAsia="zh-CN"/>
              </w:rPr>
              <w:t xml:space="preserve">6</w:t>
            </w:r>
            <w:r>
              <w:rPr>
                <w:rFonts w:hint="eastAsia" w:ascii="宋体" w:hAnsi="宋体" w:eastAsia="宋体" w:cs="宋体"/>
                <w:sz w:val="24"/>
                <w:szCs w:val="28"/>
              </w:rPr>
              <w:t xml:space="preserve">分；满足采购需求的，得</w:t>
            </w:r>
            <w:r>
              <w:rPr>
                <w:rFonts w:hint="eastAsia" w:ascii="宋体" w:hAnsi="宋体" w:eastAsia="宋体" w:cs="宋体"/>
                <w:sz w:val="24"/>
                <w:szCs w:val="28"/>
                <w:lang w:val="en-US" w:eastAsia="zh-CN"/>
              </w:rPr>
              <w:t xml:space="preserve">4</w:t>
            </w:r>
            <w:r>
              <w:rPr>
                <w:rFonts w:hint="eastAsia" w:ascii="宋体" w:hAnsi="宋体" w:eastAsia="宋体" w:cs="宋体"/>
                <w:sz w:val="24"/>
                <w:szCs w:val="28"/>
              </w:rPr>
              <w:t xml:space="preserve">分；其它情况或没有内容的不得分。</w:t>
            </w:r>
            <w:r/>
          </w:p>
        </w:tc>
      </w:tr>
      <w:tr>
        <w:trPr>
          <w:jc w:val="center"/>
          <w:trHeight w:val="274"/>
        </w:trPr>
        <w:tc>
          <w:tcPr>
            <w:tcW w:w="1405" w:type="dxa"/>
            <w:vAlign w:val="center"/>
            <w:textDirection w:val="lrTb"/>
            <w:noWrap w:val="false"/>
          </w:tcPr>
          <w:p>
            <w:pPr>
              <w:jc w:val="left"/>
              <w:rPr>
                <w:rFonts w:hint="eastAsia" w:ascii="宋体" w:hAnsi="宋体" w:eastAsia="宋体" w:cs="宋体"/>
                <w:sz w:val="24"/>
                <w:szCs w:val="28"/>
                <w:lang w:val="en-US" w:eastAsia="zh-CN"/>
              </w:rPr>
            </w:pPr>
            <w:r>
              <w:rPr>
                <w:rFonts w:hint="eastAsia" w:ascii="宋体" w:hAnsi="宋体" w:eastAsia="宋体" w:cs="宋体"/>
                <w:sz w:val="24"/>
                <w:szCs w:val="28"/>
                <w:lang w:eastAsia="zh-CN"/>
              </w:rPr>
              <w:t xml:space="preserve">考核标准承诺</w:t>
            </w:r>
            <w:r/>
          </w:p>
        </w:tc>
        <w:tc>
          <w:tcPr>
            <w:tcW w:w="1281" w:type="dxa"/>
            <w:vAlign w:val="center"/>
            <w:textDirection w:val="lrTb"/>
            <w:noWrap w:val="false"/>
          </w:tcPr>
          <w:p>
            <w:pPr>
              <w:rPr>
                <w:rFonts w:hint="eastAsia" w:ascii="宋体" w:hAnsi="宋体" w:eastAsia="宋体" w:cs="宋体"/>
                <w:sz w:val="24"/>
                <w:szCs w:val="28"/>
                <w:lang w:val="en-US" w:eastAsia="zh-CN"/>
              </w:rPr>
            </w:pPr>
            <w:r>
              <w:rPr>
                <w:rFonts w:hint="eastAsia" w:ascii="宋体" w:hAnsi="宋体" w:eastAsia="宋体" w:cs="宋体"/>
                <w:color w:val="auto"/>
                <w:sz w:val="24"/>
                <w:highlight w:val="none"/>
                <w:lang w:val="en-US" w:eastAsia="zh-CN"/>
              </w:rPr>
              <w:t xml:space="preserve">5.00</w:t>
            </w:r>
            <w:r>
              <w:rPr>
                <w:rFonts w:hint="eastAsia" w:ascii="宋体" w:hAnsi="宋体" w:eastAsia="宋体" w:cs="宋体"/>
                <w:sz w:val="24"/>
                <w:szCs w:val="21"/>
              </w:rPr>
              <w:t xml:space="preserve">分</w:t>
            </w:r>
            <w:r/>
          </w:p>
        </w:tc>
        <w:tc>
          <w:tcPr>
            <w:tcW w:w="6264" w:type="dxa"/>
            <w:vAlign w:val="center"/>
            <w:textDirection w:val="lrTb"/>
            <w:noWrap w:val="false"/>
          </w:tcPr>
          <w:p>
            <w:pPr>
              <w:jc w:val="left"/>
              <w:rPr>
                <w:rFonts w:hint="eastAsia" w:ascii="宋体" w:hAnsi="宋体" w:eastAsia="宋体" w:cs="宋体"/>
                <w:sz w:val="24"/>
                <w:szCs w:val="28"/>
              </w:rPr>
            </w:pPr>
            <w:r>
              <w:rPr>
                <w:rFonts w:hint="eastAsia" w:ascii="宋体" w:hAnsi="宋体" w:eastAsia="宋体" w:cs="宋体"/>
                <w:sz w:val="24"/>
                <w:szCs w:val="28"/>
                <w:lang w:eastAsia="zh-CN"/>
              </w:rPr>
              <w:t xml:space="preserve">投标人承诺中标后按照第四章采购需求中“</w:t>
            </w:r>
            <w:r>
              <w:rPr>
                <w:rFonts w:hint="eastAsia" w:ascii="宋体" w:hAnsi="宋体" w:eastAsia="宋体" w:cs="宋体"/>
                <w:sz w:val="24"/>
                <w:szCs w:val="28"/>
                <w:lang w:val="en-US" w:eastAsia="zh-CN"/>
              </w:rPr>
              <w:t xml:space="preserve">十二</w:t>
            </w:r>
            <w:r>
              <w:rPr>
                <w:rFonts w:hint="eastAsia" w:ascii="宋体" w:hAnsi="宋体" w:eastAsia="宋体" w:cs="宋体"/>
                <w:sz w:val="24"/>
                <w:szCs w:val="28"/>
                <w:lang w:eastAsia="zh-CN"/>
              </w:rPr>
              <w:t xml:space="preserve">、考核标准”要求实施，得</w:t>
            </w:r>
            <w:r>
              <w:rPr>
                <w:rFonts w:hint="eastAsia" w:ascii="宋体" w:hAnsi="宋体" w:eastAsia="宋体" w:cs="宋体"/>
                <w:sz w:val="24"/>
                <w:szCs w:val="28"/>
                <w:lang w:val="en-US" w:eastAsia="zh-CN"/>
              </w:rPr>
              <w:t xml:space="preserve">5</w:t>
            </w:r>
            <w:r>
              <w:rPr>
                <w:rFonts w:hint="eastAsia" w:ascii="宋体" w:hAnsi="宋体" w:eastAsia="宋体" w:cs="宋体"/>
                <w:sz w:val="24"/>
                <w:szCs w:val="28"/>
                <w:lang w:eastAsia="zh-CN"/>
              </w:rPr>
              <w:t xml:space="preserve">分。注：投标文件中需提供加盖本单位公章的承诺函电子件，格式见招标文件“第六部分”，未提供不得分。</w:t>
            </w:r>
            <w:r/>
          </w:p>
        </w:tc>
      </w:tr>
    </w:tbl>
    <w:p>
      <w:pPr>
        <w:numPr>
          <w:ilvl w:val="0"/>
          <w:numId w:val="0"/>
        </w:numPr>
        <w:jc w:val="left"/>
        <w:spacing w:line="480" w:lineRule="exact"/>
        <w:rPr>
          <w:rFonts w:hint="eastAsia" w:ascii="宋体" w:hAnsi="宋体" w:eastAsia="宋体" w:cs="宋体"/>
          <w:b/>
          <w:bCs/>
          <w:sz w:val="24"/>
        </w:rPr>
      </w:pPr>
      <w:r>
        <w:rPr>
          <w:rFonts w:hint="eastAsia" w:ascii="宋体" w:hAnsi="宋体" w:eastAsia="宋体" w:cs="宋体"/>
          <w:b/>
          <w:bCs/>
          <w:sz w:val="24"/>
        </w:rPr>
      </w:r>
      <w:r/>
    </w:p>
    <w:p>
      <w:pPr>
        <w:jc w:val="center"/>
        <w:keepLines/>
        <w:keepNext/>
        <w:pageBreakBefore/>
        <w:rPr>
          <w:rFonts w:hint="eastAsia" w:ascii="宋体" w:hAnsi="宋体" w:eastAsia="宋体" w:cs="宋体"/>
          <w:b/>
          <w:sz w:val="44"/>
          <w:szCs w:val="44"/>
        </w:rPr>
        <w:outlineLvl w:val="0"/>
      </w:pPr>
      <w:r/>
      <w:bookmarkStart w:id="122" w:name="_Toc81575205"/>
      <w:r/>
      <w:bookmarkStart w:id="123" w:name="_Toc12255"/>
      <w:r/>
      <w:bookmarkStart w:id="124" w:name="_Toc2916"/>
      <w:r/>
      <w:bookmarkStart w:id="125" w:name="_Toc14442"/>
      <w:r/>
      <w:bookmarkStart w:id="126" w:name="_Toc81575168"/>
      <w:r>
        <w:rPr>
          <w:rFonts w:hint="eastAsia" w:ascii="宋体" w:hAnsi="宋体" w:eastAsia="宋体" w:cs="宋体"/>
          <w:b/>
          <w:sz w:val="44"/>
          <w:szCs w:val="44"/>
        </w:rPr>
        <w:t xml:space="preserve">第四章</w:t>
      </w:r>
      <w:bookmarkEnd w:id="118"/>
      <w:r/>
      <w:bookmarkEnd w:id="122"/>
      <w:r/>
      <w:bookmarkEnd w:id="123"/>
      <w:r/>
      <w:bookmarkEnd w:id="124"/>
      <w:r/>
      <w:bookmarkEnd w:id="125"/>
      <w:r/>
      <w:bookmarkEnd w:id="126"/>
      <w:r/>
      <w:bookmarkStart w:id="127" w:name="_Toc30872"/>
      <w:r>
        <w:rPr>
          <w:rFonts w:hint="eastAsia" w:ascii="宋体" w:hAnsi="宋体" w:eastAsia="宋体" w:cs="宋体"/>
          <w:b/>
          <w:sz w:val="44"/>
          <w:szCs w:val="44"/>
        </w:rPr>
        <w:t xml:space="preserve">采购需求</w:t>
      </w:r>
      <w:bookmarkEnd w:id="127"/>
      <w:r/>
      <w:r/>
    </w:p>
    <w:p>
      <w:pPr>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一、采购标的清单</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4620"/>
        <w:gridCol w:w="3521"/>
      </w:tblGrid>
      <w:tr>
        <w:trPr>
          <w:cantSplit/>
          <w:jc w:val="center"/>
        </w:trPr>
        <w:tc>
          <w:tcPr>
            <w:tcW w:w="798"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序号</w:t>
            </w:r>
            <w:r/>
          </w:p>
        </w:tc>
        <w:tc>
          <w:tcPr>
            <w:tcW w:w="4620"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标的</w:t>
            </w:r>
            <w:r/>
          </w:p>
        </w:tc>
        <w:tc>
          <w:tcPr>
            <w:tcW w:w="352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对应中小企业划分标准所属行业</w:t>
            </w:r>
            <w:r/>
          </w:p>
        </w:tc>
      </w:tr>
      <w:tr>
        <w:trPr>
          <w:cantSplit/>
          <w:jc w:val="center"/>
          <w:trHeight w:val="810"/>
        </w:trPr>
        <w:tc>
          <w:tcPr>
            <w:tcW w:w="798" w:type="dxa"/>
            <w:vAlign w:val="center"/>
            <w:textDirection w:val="lrTb"/>
            <w:noWrap w:val="false"/>
          </w:tcPr>
          <w:p>
            <w:pPr>
              <w:jc w:val="center"/>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w:t>
            </w:r>
            <w:r/>
          </w:p>
        </w:tc>
        <w:tc>
          <w:tcPr>
            <w:tcW w:w="4620" w:type="dxa"/>
            <w:vAlign w:val="center"/>
            <w:textDirection w:val="lrTb"/>
            <w:noWrap w:val="false"/>
          </w:tcPr>
          <w:p>
            <w:pPr>
              <w:jc w:val="center"/>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交管支队2026-2027年度涉案车辆拖移保管服务采购项目</w:t>
            </w:r>
            <w:r/>
          </w:p>
        </w:tc>
        <w:tc>
          <w:tcPr>
            <w:tcW w:w="3521" w:type="dxa"/>
            <w:vAlign w:val="center"/>
            <w:textDirection w:val="lrTb"/>
            <w:noWrap w:val="false"/>
          </w:tcPr>
          <w:p>
            <w:pPr>
              <w:jc w:val="center"/>
              <w:spacing w:line="3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其他未列明的行业</w:t>
            </w:r>
            <w:r/>
          </w:p>
        </w:tc>
      </w:tr>
    </w:tbl>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、项目概况</w:t>
      </w:r>
      <w:r/>
    </w:p>
    <w:p>
      <w:pPr>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eastAsia="zh-CN"/>
        </w:rPr>
        <w:t xml:space="preserve">交管支队2026-2027年度涉案车辆拖移保管服务采购项目</w:t>
      </w:r>
      <w:r/>
    </w:p>
    <w:p>
      <w:pPr>
        <w:ind w:firstLine="480"/>
        <w:spacing w:line="480" w:lineRule="exact"/>
        <w:rPr>
          <w:rFonts w:hint="eastAsia" w:ascii="宋体" w:hAnsi="宋体" w:eastAsia="宋体" w:cs="宋体"/>
          <w:sz w:val="24"/>
          <w:szCs w:val="24"/>
        </w:rPr>
      </w:pPr>
      <w:r>
        <w:rPr>
          <w:rFonts w:hint="eastAsia" w:ascii="宋体" w:hAnsi="宋体" w:eastAsia="宋体" w:cs="宋体"/>
          <w:bCs/>
          <w:sz w:val="24"/>
          <w:szCs w:val="24"/>
          <w:lang w:val="en-US" w:eastAsia="zh-CN"/>
        </w:rPr>
        <w:t xml:space="preserve">2.预算金额：</w:t>
      </w:r>
      <w:r>
        <w:rPr>
          <w:rFonts w:hint="eastAsia" w:ascii="宋体" w:hAnsi="宋体" w:eastAsia="宋体" w:cs="宋体"/>
          <w:sz w:val="24"/>
          <w:szCs w:val="24"/>
          <w:lang w:val="en-US" w:eastAsia="zh-CN"/>
        </w:rPr>
        <w:t xml:space="preserve">649.5万元</w:t>
      </w:r>
      <w:r/>
    </w:p>
    <w:p>
      <w:pPr>
        <w:ind w:firstLine="480"/>
        <w:spacing w:line="480" w:lineRule="exact"/>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color w:val="000000"/>
          <w:sz w:val="24"/>
          <w:szCs w:val="24"/>
          <w:lang w:val="en-US" w:eastAsia="zh-CN"/>
        </w:rPr>
        <w:t xml:space="preserve">服务内容：</w:t>
      </w:r>
      <w:r>
        <w:rPr>
          <w:rFonts w:hint="eastAsia" w:ascii="宋体" w:hAnsi="宋体" w:eastAsia="宋体" w:cs="宋体"/>
          <w:sz w:val="24"/>
          <w:szCs w:val="24"/>
          <w:lang w:val="en-US" w:eastAsia="zh-CN"/>
        </w:rPr>
        <w:t xml:space="preserve">主城区（宿城区、湖滨新区、经开区、苏宿园区辖区内交警各执勤大中队事故及违法车辆）、宿豫区（辖区内交警各执勤大中队事故及违法车辆）以及洋河新区（辖区内交警各执勤大中队事故及违法车辆）内的涉案车辆拖移及保管服务。主城区内的停车场由采购人提供，宿豫区及洋河新区内的停车场由供应商提供。</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4.合同履行期限：1年</w:t>
      </w:r>
      <w:r/>
    </w:p>
    <w:p>
      <w:pPr>
        <w:spacing w:line="52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、付款方式</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签订后且收到投标人发票后10个工作日内支付合同金额的10%作为预付款；合同履行期限每满3个月，中标人向采购人提供近3个月的相关服务清单材料且无任何违约的情况下，经采购人验收合格后在接到中标人票据10个工作日内据实支付。</w:t>
      </w:r>
      <w:r/>
    </w:p>
    <w:p>
      <w:pPr>
        <w:ind w:firstLine="480"/>
        <w:spacing w:line="52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注：在签订合同时，</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明确表示无需预付款或者主动要求降低预付款比例的，采购人可不适用前述规定。</w:t>
      </w:r>
      <w:r/>
    </w:p>
    <w:p>
      <w:pPr>
        <w:spacing w:line="520" w:lineRule="exact"/>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
          <w:sz w:val="24"/>
          <w:szCs w:val="24"/>
          <w:lang w:val="en-US" w:eastAsia="zh-CN"/>
        </w:rPr>
        <w:t xml:space="preserve">四、服务内容及要求</w:t>
      </w:r>
      <w:r/>
    </w:p>
    <w:p>
      <w:pPr>
        <w:ind w:right="0" w:firstLine="480"/>
        <w:keepLines w:val="0"/>
        <w:keepNext w:val="0"/>
        <w:pageBreakBefore w:val="0"/>
        <w:spacing w:line="560" w:lineRule="exact"/>
        <w:shd w:val="clear" w:color="auto" w:fill="auto"/>
        <w:widowControl/>
        <w:rPr>
          <w:rFonts w:hint="eastAsia" w:ascii="宋体" w:hAnsi="宋体" w:eastAsia="宋体" w:cs="宋体"/>
          <w:bCs/>
          <w:color w:val="000000"/>
          <w:sz w:val="24"/>
          <w:szCs w:val="21"/>
          <w:highlight w:val="none"/>
          <w:lang w:val="en-US" w:eastAsia="zh-CN" w:bidi="ar-SA"/>
        </w:rPr>
      </w:pPr>
      <w:r>
        <w:rPr>
          <w:rFonts w:hint="eastAsia" w:ascii="宋体" w:hAnsi="宋体" w:eastAsia="宋体" w:cs="宋体"/>
          <w:bCs/>
          <w:color w:val="000000"/>
          <w:sz w:val="24"/>
          <w:szCs w:val="21"/>
          <w:highlight w:val="none"/>
          <w:lang w:val="en-US" w:eastAsia="zh-CN" w:bidi="ar-SA"/>
        </w:rPr>
        <w:t xml:space="preserve">1、服务内容</w:t>
      </w:r>
      <w:r/>
    </w:p>
    <w:tbl>
      <w:tblPr>
        <w:tblStyle w:val="787"/>
        <w:tblW w:w="8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530"/>
        <w:gridCol w:w="2721"/>
        <w:gridCol w:w="2337"/>
        <w:gridCol w:w="749"/>
      </w:tblGrid>
      <w:tr>
        <w:trPr>
          <w:jc w:val="center"/>
          <w:trHeight w:val="50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车型</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拖移车辆最高限价单价（元）</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停放保管最高限价单价（元/辆.天）</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非机动车</w:t>
            </w:r>
            <w:r/>
          </w:p>
        </w:tc>
        <w:tc>
          <w:tcPr>
            <w:shd w:val="clear" w:color="auto" w:fill="auto"/>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四轮及以下</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c>
          <w:tcPr>
            <w:shd w:val="clear" w:color="auto" w:fill="auto"/>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65"/>
        </w:trPr>
        <w:tc>
          <w:tcPr>
            <w:tcW w:w="894"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530"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特大型汽车</w:t>
            </w:r>
            <w:r/>
          </w:p>
        </w:tc>
        <w:tc>
          <w:tcPr>
            <w:tcW w:w="2721"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500</w:t>
            </w:r>
            <w:r/>
          </w:p>
        </w:tc>
        <w:tc>
          <w:tcPr>
            <w:tcW w:w="2337"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W w:w="749" w:type="dxa"/>
            <w:vAlign w:val="center"/>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注：1、投标人如果中标，应按上述单次停放收费标准*中标折扣执行，按实结算。【例：投标人中标折扣为90%，则小型汽车拖车费为225元，小型汽车单次停放收费为9元/天，依次类推】，全年最终结算总价不超过预算总价。</w:t>
      </w:r>
      <w:r/>
    </w:p>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2、投标人应按照统一的整体折扣进行报价。</w:t>
      </w:r>
      <w:r/>
    </w:p>
    <w:p>
      <w:pPr>
        <w:ind w:firstLine="480"/>
        <w:spacing w:line="52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3、因“苏采云”系统原因，投标人在系统内开标一览表中的填写的“优惠率”即为招标文件中的“折扣”，两者数值应相同，请各投标人准确填写。</w:t>
      </w:r>
      <w:r/>
    </w:p>
    <w:p>
      <w:pPr>
        <w:ind w:firstLine="480"/>
        <w:spacing w:line="52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2、清障车辆：</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要有相对固定的各种型号清障车辆，自有或者租赁均可（若属租赁车辆，其租赁期不得少于本项目的合同服务期限），清障车辆不得少于9辆，听从大、中队统一安排，以拖移小型车辆为主，其他的清障车辆数量根据日常工作量情况由中标单位自行配置能满足对不同车型拖移的需要，但是要在规定的时间内完成清障工作。</w:t>
      </w:r>
      <w:r/>
    </w:p>
    <w:p>
      <w:pPr>
        <w:ind w:firstLine="480"/>
        <w:jc w:val="left"/>
        <w:spacing w:line="500" w:lineRule="exact"/>
        <w:rPr>
          <w:rFonts w:hint="eastAsia" w:ascii="宋体" w:hAnsi="宋体" w:eastAsia="宋体" w:cs="宋体"/>
          <w:i w:val="0"/>
          <w:color w:val="auto"/>
          <w:sz w:val="24"/>
          <w:szCs w:val="24"/>
          <w:u w:val="none"/>
          <w:lang w:val="zh-CN" w:eastAsia="zh-CN" w:bidi="ar"/>
        </w:rPr>
      </w:pPr>
      <w:r>
        <w:rPr>
          <w:rFonts w:hint="eastAsia" w:ascii="宋体" w:hAnsi="宋体" w:eastAsia="宋体" w:cs="宋体"/>
          <w:i w:val="0"/>
          <w:color w:val="auto"/>
          <w:sz w:val="24"/>
          <w:szCs w:val="24"/>
          <w:u w:val="none"/>
          <w:lang w:val="en-US" w:eastAsia="zh-CN" w:bidi="ar"/>
        </w:rPr>
        <w:t xml:space="preserve">2.2投标人需具有满足需求的</w:t>
      </w:r>
      <w:r>
        <w:rPr>
          <w:rFonts w:hint="eastAsia" w:ascii="宋体" w:hAnsi="宋体" w:eastAsia="宋体" w:cs="宋体"/>
          <w:i w:val="0"/>
          <w:color w:val="auto"/>
          <w:sz w:val="24"/>
          <w:szCs w:val="24"/>
          <w:u w:val="none"/>
          <w:lang w:val="zh-CN" w:eastAsia="zh-CN" w:bidi="ar"/>
        </w:rPr>
        <w:t xml:space="preserve">专用清障车及相应的清障设施，且车辆检验、保险等手续齐全，车辆安全技术状况良好；车辆购买交强险外，还要有不少于</w:t>
      </w:r>
      <w:r>
        <w:rPr>
          <w:rFonts w:hint="eastAsia" w:ascii="宋体" w:hAnsi="宋体" w:eastAsia="宋体" w:cs="宋体"/>
          <w:i w:val="0"/>
          <w:color w:val="auto"/>
          <w:sz w:val="24"/>
          <w:szCs w:val="24"/>
          <w:u w:val="none"/>
          <w:lang w:val="en-US" w:eastAsia="zh-CN" w:bidi="ar"/>
        </w:rPr>
        <w:t xml:space="preserve">30</w:t>
      </w:r>
      <w:r>
        <w:rPr>
          <w:rFonts w:hint="eastAsia" w:ascii="宋体" w:hAnsi="宋体" w:eastAsia="宋体" w:cs="宋体"/>
          <w:i w:val="0"/>
          <w:color w:val="auto"/>
          <w:sz w:val="24"/>
          <w:szCs w:val="24"/>
          <w:u w:val="none"/>
          <w:lang w:val="zh-CN" w:eastAsia="zh-CN" w:bidi="ar"/>
        </w:rPr>
        <w:t xml:space="preserve">0万元的第三者责任险，</w:t>
      </w:r>
      <w:r>
        <w:rPr>
          <w:rFonts w:hint="eastAsia" w:ascii="宋体" w:hAnsi="宋体" w:eastAsia="宋体" w:cs="宋体"/>
          <w:i w:val="0"/>
          <w:color w:val="auto"/>
          <w:sz w:val="24"/>
          <w:szCs w:val="24"/>
          <w:u w:val="none"/>
          <w:lang w:val="en-US" w:eastAsia="zh-CN" w:bidi="ar"/>
        </w:rPr>
        <w:t xml:space="preserve">不少于100万的货物险，且保险理赔时限在本项目服务期限内持续有效。</w:t>
      </w:r>
      <w:r>
        <w:rPr>
          <w:rFonts w:hint="eastAsia" w:ascii="宋体" w:hAnsi="宋体" w:eastAsia="宋体" w:cs="宋体"/>
          <w:i w:val="0"/>
          <w:color w:val="auto"/>
          <w:sz w:val="24"/>
          <w:szCs w:val="24"/>
          <w:u w:val="none"/>
          <w:lang w:val="zh-CN" w:eastAsia="zh-CN" w:bidi="ar"/>
        </w:rPr>
        <w:t xml:space="preserve">救援随车装备配备齐全：警示标志、反光锥捅、枕木、拖车辅助轮等。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2.3以上车辆类型要求仅为采购人提供服务的最低要求，在实际工作中如拖移作业需要车辆超出上述要求，投标人应当满足。</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3、人员保障：</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3.1每个涉案车辆保管点24小时场地管理人员不得少于4人，场地管理人员要有基本的计算机操作、录入能力。</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3.2涉案车辆保管点除场地管理人员外，负责出车拖移人员不得少于6组，每组不得少于2人。拖车要有相对固定的车辆驾驶员，驾驶员要具有驾驶拖车资格所需的驾驶证，能够在规定时间内完成拖移任务且严禁工作期间酒后驾车和疲劳驾驶。</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bookmarkStart w:id="128" w:name="_Toc81575206"/>
      <w:r/>
      <w:bookmarkStart w:id="129" w:name="_Toc81575169"/>
      <w:r/>
      <w:bookmarkStart w:id="130" w:name="_Toc31499"/>
      <w:r/>
      <w:bookmarkStart w:id="131" w:name="_Toc22098"/>
      <w:r/>
      <w:bookmarkStart w:id="132" w:name="_Toc19774"/>
      <w:r>
        <w:rPr>
          <w:rFonts w:hint="eastAsia" w:ascii="宋体" w:hAnsi="宋体" w:eastAsia="宋体" w:cs="宋体"/>
          <w:i w:val="0"/>
          <w:color w:val="auto"/>
          <w:sz w:val="24"/>
          <w:szCs w:val="24"/>
          <w:u w:val="none"/>
          <w:lang w:val="en-US" w:eastAsia="zh-CN" w:bidi="ar"/>
        </w:rPr>
        <w:t xml:space="preserve">4、停车场服务要求</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bookmarkStart w:id="133" w:name="_Hlk22631774"/>
      <w:r>
        <w:rPr>
          <w:rFonts w:hint="eastAsia" w:ascii="宋体" w:hAnsi="宋体" w:eastAsia="宋体" w:cs="宋体"/>
          <w:i w:val="0"/>
          <w:color w:val="auto"/>
          <w:sz w:val="24"/>
          <w:szCs w:val="24"/>
          <w:u w:val="none"/>
          <w:lang w:val="en-US" w:eastAsia="zh-CN" w:bidi="ar"/>
        </w:rPr>
        <w:t xml:space="preserve">4.1投标人提供的宿豫区区域涉案车辆停车场场地面积必须不少于27000平方米</w:t>
      </w:r>
      <w:bookmarkEnd w:id="133"/>
      <w:r>
        <w:rPr>
          <w:rFonts w:hint="eastAsia" w:ascii="宋体" w:hAnsi="宋体" w:eastAsia="宋体" w:cs="宋体"/>
          <w:i w:val="0"/>
          <w:color w:val="auto"/>
          <w:sz w:val="24"/>
          <w:szCs w:val="24"/>
          <w:u w:val="none"/>
          <w:lang w:val="en-US" w:eastAsia="zh-CN" w:bidi="ar"/>
        </w:rPr>
        <w:t xml:space="preserve">；洋河新区区域涉案车辆停车场场地面积必须不少于35000平方米；投标人可以是停车场地所有人也可以是承租方：</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4.2如投标人是停车场地所有人，中标后合同签订前须提供产权所有的证明材料送至采购人处备案。</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4.3如投标人是承租方，中标后合同签订前须提供①与停车场地所有人的租赁合同②租赁期内无第三方干预产权、主张租赁权益等问题承诺书。以上材料缺一不可，中标后合同签订前须送至采购人处备案。租赁期限必须与采购人签订的合同生效之日起不少于1年。</w:t>
      </w:r>
      <w:r/>
    </w:p>
    <w:p>
      <w:pPr>
        <w:ind w:firstLine="480"/>
        <w:pageBreakBefore w:val="0"/>
        <w:spacing w:line="360" w:lineRule="auto"/>
        <w:widowControl/>
        <w:tabs>
          <w:tab w:val="left" w:pos="720" w:leader="none"/>
        </w:tabs>
        <w:rPr>
          <w:rFonts w:hint="eastAsia" w:ascii="宋体" w:hAnsi="宋体" w:eastAsia="宋体" w:cs="宋体"/>
          <w:i w:val="0"/>
          <w:color w:val="auto"/>
          <w:sz w:val="24"/>
          <w:szCs w:val="24"/>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4.4停车场要求24小时人员值守、办理相关业务。人员需熟练掌握电脑操作，所有人员均需岗前培训，熟悉岗位职责及办事流程，并熟练掌握各种消防设施的使用。</w:t>
      </w:r>
      <w:r/>
    </w:p>
    <w:p>
      <w:pPr>
        <w:ind w:firstLine="480"/>
        <w:pageBreakBefore w:val="0"/>
        <w:spacing w:line="360" w:lineRule="auto"/>
        <w:widowControl/>
        <w:tabs>
          <w:tab w:val="left" w:pos="720" w:leader="none"/>
        </w:tabs>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i w:val="0"/>
          <w:color w:val="auto"/>
          <w:sz w:val="24"/>
          <w:szCs w:val="24"/>
          <w:u w:val="none"/>
          <w:lang w:val="en-US" w:eastAsia="zh-CN" w:bidi="ar"/>
        </w:rPr>
        <w:t xml:space="preserve">4.5投标人须承诺中标后停车场场地必须只为本项目使用，不得作为他用，如后续</w:t>
      </w:r>
      <w:r>
        <w:rPr>
          <w:rFonts w:hint="eastAsia" w:ascii="宋体" w:hAnsi="宋体" w:eastAsia="宋体" w:cs="宋体"/>
          <w:b w:val="0"/>
          <w:bCs w:val="0"/>
          <w:i w:val="0"/>
          <w:color w:val="auto"/>
          <w:sz w:val="24"/>
          <w:szCs w:val="24"/>
          <w:u w:val="none"/>
          <w:lang w:val="en-US" w:eastAsia="zh-CN" w:bidi="ar"/>
        </w:rPr>
        <w:t xml:space="preserve">有违承诺，所有后果由投标人承担</w:t>
      </w:r>
      <w:r>
        <w:rPr>
          <w:rFonts w:hint="eastAsia" w:ascii="宋体" w:hAnsi="宋体" w:eastAsia="宋体" w:cs="宋体"/>
          <w:b/>
          <w:bCs/>
          <w:color w:val="000000"/>
          <w:sz w:val="24"/>
          <w:szCs w:val="24"/>
          <w:lang w:val="en-US" w:eastAsia="zh-CN"/>
        </w:rPr>
        <w:t xml:space="preserve">（需在投标文件中提供承诺函，格式自拟）</w:t>
      </w:r>
      <w:r>
        <w:rPr>
          <w:rFonts w:hint="eastAsia" w:ascii="宋体" w:hAnsi="宋体" w:eastAsia="宋体" w:cs="宋体"/>
          <w:b w:val="0"/>
          <w:bCs w:val="0"/>
          <w:i w:val="0"/>
          <w:color w:val="auto"/>
          <w:sz w:val="24"/>
          <w:szCs w:val="24"/>
          <w:u w:val="none"/>
          <w:lang w:val="en-US" w:eastAsia="zh-CN" w:bidi="ar"/>
        </w:rPr>
        <w:t xml:space="preserve">。</w:t>
      </w:r>
      <w:r/>
    </w:p>
    <w:p>
      <w:pPr>
        <w:ind w:firstLine="480"/>
        <w:pageBreakBefore w:val="0"/>
        <w:spacing w:line="360" w:lineRule="auto"/>
        <w:widowControl/>
        <w:tabs>
          <w:tab w:val="left" w:pos="720" w:leader="none"/>
        </w:tabs>
        <w:rPr>
          <w:rFonts w:hint="eastAsia" w:ascii="宋体" w:hAnsi="宋体" w:eastAsia="宋体" w:cs="宋体"/>
          <w:b w:val="0"/>
          <w:bCs w:val="0"/>
          <w:i w:val="0"/>
          <w:color w:val="auto"/>
          <w:sz w:val="24"/>
          <w:szCs w:val="24"/>
          <w:highlight w:val="none"/>
          <w:u w:val="none"/>
          <w:lang w:val="en-US" w:eastAsia="zh-CN" w:bidi="ar"/>
        </w:rPr>
        <w:outlineLvl w:val="9"/>
      </w:pPr>
      <w:r>
        <w:rPr>
          <w:rFonts w:hint="eastAsia" w:ascii="宋体" w:hAnsi="宋体" w:eastAsia="宋体" w:cs="宋体"/>
          <w:b w:val="0"/>
          <w:bCs w:val="0"/>
          <w:i w:val="0"/>
          <w:color w:val="auto"/>
          <w:sz w:val="24"/>
          <w:szCs w:val="24"/>
          <w:highlight w:val="none"/>
          <w:u w:val="none"/>
          <w:lang w:val="en-US" w:eastAsia="zh-CN" w:bidi="ar"/>
        </w:rPr>
      </w:r>
      <w:r>
        <w:rPr>
          <w:rFonts w:hint="eastAsia" w:ascii="宋体" w:hAnsi="宋体" w:eastAsia="宋体" w:cs="宋体"/>
          <w:i w:val="0"/>
          <w:color w:val="auto"/>
          <w:sz w:val="24"/>
          <w:szCs w:val="24"/>
          <w:highlight w:val="none"/>
          <w:u w:val="none"/>
          <w:lang w:val="en-US" w:eastAsia="zh-CN" w:bidi="ar"/>
        </w:rPr>
        <w:t xml:space="preserve">注;</w:t>
      </w:r>
      <w:r>
        <w:rPr>
          <w:rFonts w:hint="eastAsia" w:ascii="宋体" w:hAnsi="宋体" w:eastAsia="宋体" w:cs="宋体"/>
          <w:b w:val="0"/>
          <w:bCs w:val="0"/>
          <w:i w:val="0"/>
          <w:color w:val="auto"/>
          <w:sz w:val="24"/>
          <w:szCs w:val="24"/>
          <w:highlight w:val="none"/>
          <w:u w:val="none"/>
          <w:lang w:val="en-US" w:eastAsia="zh-CN" w:bidi="ar"/>
        </w:rPr>
        <w:t xml:space="preserve">以上</w:t>
      </w:r>
      <w:r>
        <w:rPr>
          <w:rFonts w:hint="eastAsia" w:ascii="宋体" w:hAnsi="宋体" w:eastAsia="宋体" w:cs="宋体"/>
          <w:b w:val="0"/>
          <w:bCs w:val="0"/>
          <w:i w:val="0"/>
          <w:color w:val="auto"/>
          <w:sz w:val="24"/>
          <w:szCs w:val="24"/>
          <w:highlight w:val="none"/>
          <w:u w:val="none"/>
          <w:lang w:val="en-US" w:eastAsia="zh-CN" w:bidi="ar"/>
        </w:rPr>
        <w:t xml:space="preserve">内容</w:t>
      </w:r>
      <w:r>
        <w:rPr>
          <w:rFonts w:hint="eastAsia" w:ascii="宋体" w:hAnsi="宋体" w:eastAsia="宋体" w:cs="宋体"/>
          <w:b w:val="0"/>
          <w:bCs w:val="0"/>
          <w:i w:val="0"/>
          <w:color w:val="auto"/>
          <w:sz w:val="24"/>
          <w:szCs w:val="24"/>
          <w:highlight w:val="none"/>
          <w:u w:val="none"/>
          <w:lang w:val="en-US" w:eastAsia="zh-CN" w:bidi="ar"/>
        </w:rPr>
        <w:t xml:space="preserve">均为实质性内容</w:t>
      </w:r>
      <w:r>
        <w:rPr>
          <w:rFonts w:hint="eastAsia" w:ascii="宋体" w:hAnsi="宋体" w:eastAsia="宋体" w:cs="宋体"/>
          <w:b w:val="0"/>
          <w:bCs w:val="0"/>
          <w:i w:val="0"/>
          <w:color w:val="auto"/>
          <w:sz w:val="24"/>
          <w:szCs w:val="24"/>
          <w:highlight w:val="none"/>
          <w:u w:val="none"/>
          <w:lang w:val="en-US" w:eastAsia="zh-CN" w:bidi="ar"/>
        </w:rPr>
        <w:t xml:space="preserve">，不接受负偏离</w:t>
      </w:r>
      <w:r>
        <w:rPr>
          <w:rFonts w:hint="eastAsia" w:ascii="宋体" w:hAnsi="宋体" w:eastAsia="宋体" w:cs="宋体"/>
          <w:b w:val="0"/>
          <w:bCs w:val="0"/>
          <w:i w:val="0"/>
          <w:color w:val="auto"/>
          <w:sz w:val="24"/>
          <w:szCs w:val="24"/>
          <w:highlight w:val="none"/>
          <w:u w:val="none"/>
          <w:lang w:val="en-US" w:eastAsia="zh-CN" w:bidi="ar"/>
        </w:rPr>
        <w:t xml:space="preserve">，否则按无效标处理</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b w:val="0"/>
          <w:bCs w:val="0"/>
          <w:i w:val="0"/>
          <w:color w:val="auto"/>
          <w:sz w:val="24"/>
          <w:szCs w:val="24"/>
          <w:u w:val="none"/>
          <w:lang w:val="en-US" w:eastAsia="zh-CN" w:bidi="ar"/>
        </w:rPr>
      </w:r>
      <w:r/>
    </w:p>
    <w:p>
      <w:pPr>
        <w:ind w:firstLine="480"/>
        <w:pageBreakBefore w:val="0"/>
        <w:spacing w:line="360" w:lineRule="auto"/>
        <w:widowControl/>
        <w:tabs>
          <w:tab w:val="left" w:pos="720" w:leader="none"/>
        </w:tabs>
        <w:rPr>
          <w:rFonts w:hint="eastAsia" w:ascii="宋体" w:hAnsi="宋体" w:eastAsia="宋体" w:cs="宋体"/>
          <w:b w:val="0"/>
          <w:bCs w:val="0"/>
          <w:i w:val="0"/>
          <w:color w:val="auto"/>
          <w:sz w:val="24"/>
          <w:szCs w:val="24"/>
          <w:u w:val="none"/>
          <w:lang w:val="en-US" w:eastAsia="zh-CN" w:bidi="ar"/>
        </w:rPr>
        <w:outlineLvl w:val="9"/>
      </w:pPr>
      <w:r>
        <w:rPr>
          <w:rFonts w:hint="eastAsia" w:ascii="宋体" w:hAnsi="宋体" w:eastAsia="宋体" w:cs="宋体"/>
          <w:b w:val="0"/>
          <w:bCs w:val="0"/>
          <w:i w:val="0"/>
          <w:color w:val="auto"/>
          <w:sz w:val="24"/>
          <w:szCs w:val="24"/>
          <w:highlight w:val="none"/>
          <w:u w:val="none"/>
          <w:lang w:val="en-US" w:eastAsia="zh-CN" w:bidi="ar"/>
        </w:rPr>
      </w:r>
      <w:r>
        <w:rPr>
          <w:rFonts w:hint="eastAsia" w:ascii="宋体" w:hAnsi="宋体" w:eastAsia="宋体" w:cs="宋体"/>
          <w:b/>
          <w:bCs/>
          <w:i w:val="0"/>
          <w:color w:val="auto"/>
          <w:sz w:val="24"/>
          <w:szCs w:val="24"/>
          <w:u w:val="none"/>
          <w:lang w:val="en-US" w:eastAsia="zh-CN" w:bidi="ar"/>
        </w:rPr>
        <w:t xml:space="preserve">五、涉案车辆拖车服务方案</w:t>
      </w:r>
      <w:r>
        <w:rPr>
          <w:rFonts w:hint="eastAsia" w:ascii="宋体" w:hAnsi="宋体" w:eastAsia="宋体" w:cs="宋体"/>
          <w:b w:val="0"/>
          <w:bCs w:val="0"/>
          <w:i w:val="0"/>
          <w:color w:val="auto"/>
          <w:sz w:val="24"/>
          <w:szCs w:val="24"/>
          <w:u w:val="none"/>
          <w:lang w:val="en-US" w:eastAsia="zh-CN" w:bidi="ar"/>
        </w:rPr>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1.时间要求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1.1供应商提供全天24小时涉案车辆拖车服务。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1.2供应商接到采购人及下属单位通知后须立即出车施救，须在规定时间内到达指定地点。</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1.3供应商到达指定地点后，根据执勤民警开具的强制措施凭证，须在规定时间内完成涉案车辆起拖、起吊、拖移工作，并撤离现场，其中一般交通事故车辆及交通违法车辆10分钟内、重特大交通事故30分钟内（现场复杂的交通事故经执勤民警同意后可适当延长服务时间）；时间从接到执勤民警开具的强制措施凭证起计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1.4供应商须在120分钟内将涉案车辆拖至涉案车辆保管场地。</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1.5涉案车辆需要过磅称重的，供应商根据执勤民警开具的《涉案车辆过磅联系单》，须在4小时内将涉案车辆拖至过磅点，过磅称重结束后及时将涉案车辆拖至涉案车辆保管场地。</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2、车辆要求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2.1供应商要配备足够完成采购人及下属单位要求的涉案车辆拖车服务的拖车等各类车辆。中标后所有的车辆须提前向采购人备案，如有变动的，须在征得采购人同意后配备相同功能的备用车辆替代。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2.2供应商配备的车辆须具有合法、完备的证照，保证车况良好并配备足够、完好的交通清障辅助设备（包括警示筒、警示带等反光标志、消防器材、拖车辅助轮、千斤顶、破拆器材等）、应急物品（木屑、沙等）及通讯工具、摄像摄影器材等，确保拖移能力与通信畅通；不得配备报废、非法车辆参与拖移作业。</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2.3供应商配备的车辆须购买相应的交强险和第三责任险等保险，中标后须提供购买相应的保险证明材料交于采购单位备案。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2.4供应商配备的所有车辆须在明显位置处公开投诉监督电话号码。</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供应商为本项目服务须配备足够及满足采购人及下属单位需求的涉案车辆拖车服务配套的工作人员。供应商提供的所有工作人员信息资料须提前向采购人备案，如有变动的，须在征得采购人同意后配备相同资质和能力的相应岗位的其他工作人员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3.2供应商配备的工作人员须与供应商签订劳动合同。工作中须统一着装，熟练规范安全操作，且必须听从执勤交警的指挥调度。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3.3工作人员要根据执勤民警的要求，开展交通事故现场的血迹、油污、泥土、洒落货物等残留物的清理工作和大宗物品的移位工作，确保事故现场的道路畅通和安全。</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3.4工作人员作业时必须严格遵守道路交通管理规定，不得因作业而影响交通、造成交通堵塞或损坏公路、市政设施；如因作业需要违反交通管理规定的，须经执勤交警同意，且做好相关警示提警。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3.5工作人员应按照采购人规定的程序及规范处置被拖车辆的随车物品，未经采购人或当事人同意，工作人员不得进入被拖车辆的车辆内部（包括驾驶乘坐仓以及车尾箱等）。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4其他要求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中标人应提供《拖移车辆服务单》作为服务实施和项目结算的凭证，《拖移车辆服务单》应当载明：接到服务指令时间、作业人员、现场地点、到达现场时间、服务事由、交警部门经办人、车辆号牌、车辆类型、入场时间、保管人。并提供每季度报表统计拖移车辆服务数据（包括Excel电子版），对车辆拖移服务的真实性负责，作为每季度考核依据和项目结算的依据。</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4.2供应商在开展涉案车辆拖车服务过程中发生交通事故、作业事故或其他意外，造成供应商的车辆损坏、工作人员伤害的，由供应商自行负责；造成涉案车辆损坏、其他人员伤害、物品损坏、油料失少等其他损失的，均由供应商负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4.3除采购人要求供应商开展拖车服务外，交通事故车辆还需要吊车、驳运或抢险作业等其他施救服务的，由供应商自行与当事人（或事故车辆保险公司）协商；吊车、驳运或抢险作业的费用由供应商根据物价部门的收费标准向当事人（或事故车辆保险公司）结算，并开具正规施救发票。供应商有违反相关法律、法规、规章如未经与当事人（或事故车辆保险公司）协商同意，而强行自行开展吊车、驳运或抢险作业等其他施救服务等行为的，一切法律后果由供应商负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4.4中标人不能无故（类似于怕损坏车辆等缘由）不对涉案车辆进行拖车移车服务，只要有发出涉案车辆拖车移车服务指令，中标人都应无条件响应并进行服务。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4.5因供应商原因，造成严重影响或后果的，采购人有权解除合同。</w:t>
      </w:r>
      <w:r/>
    </w:p>
    <w:p>
      <w:pPr>
        <w:ind w:firstLine="480"/>
        <w:jc w:val="left"/>
        <w:spacing w:line="500" w:lineRule="exact"/>
        <w:rPr>
          <w:rFonts w:hint="eastAsia" w:ascii="宋体" w:hAnsi="宋体" w:eastAsia="宋体" w:cs="宋体"/>
          <w:bCs w:val="0"/>
          <w:i w:val="0"/>
          <w:color w:val="auto"/>
          <w:sz w:val="24"/>
          <w:szCs w:val="24"/>
          <w:highlight w:val="none"/>
          <w:u w:val="none"/>
          <w:lang w:val="en-US" w:eastAsia="zh-CN" w:bidi="ar"/>
        </w:rPr>
      </w:pPr>
      <w:r>
        <w:rPr>
          <w:rFonts w:hint="eastAsia" w:ascii="宋体" w:hAnsi="宋体" w:eastAsia="宋体" w:cs="宋体"/>
          <w:i w:val="0"/>
          <w:color w:val="auto"/>
          <w:sz w:val="24"/>
          <w:szCs w:val="24"/>
          <w:u w:val="none"/>
          <w:lang w:val="en-US" w:eastAsia="zh-CN" w:bidi="ar"/>
        </w:rPr>
        <w:t xml:space="preserve">4.6除上述规定外，必须严格遵守采购人《涉案车辆管理规定》，按规定要求执行。</w:t>
      </w:r>
      <w:r/>
    </w:p>
    <w:p>
      <w:pPr>
        <w:ind w:firstLine="480"/>
        <w:jc w:val="left"/>
        <w:spacing w:line="500" w:lineRule="exact"/>
        <w:rPr>
          <w:rFonts w:hint="eastAsia" w:ascii="宋体" w:hAnsi="宋体" w:eastAsia="宋体" w:cs="宋体"/>
          <w:bCs w:val="0"/>
          <w:i w:val="0"/>
          <w:color w:val="auto"/>
          <w:sz w:val="24"/>
          <w:szCs w:val="24"/>
          <w:u w:val="none"/>
          <w:lang w:val="en-US" w:eastAsia="zh-CN" w:bidi="ar"/>
        </w:rPr>
      </w:pPr>
      <w:r>
        <w:rPr>
          <w:rFonts w:hint="eastAsia" w:ascii="宋体" w:hAnsi="宋体" w:eastAsia="宋体" w:cs="宋体"/>
          <w:i w:val="0"/>
          <w:color w:val="auto"/>
          <w:sz w:val="24"/>
          <w:szCs w:val="24"/>
          <w:highlight w:val="none"/>
          <w:u w:val="none"/>
          <w:lang w:val="en-US" w:eastAsia="zh-CN" w:bidi="ar"/>
        </w:rPr>
        <w:t xml:space="preserve">注;</w:t>
      </w:r>
      <w:r>
        <w:rPr>
          <w:rFonts w:hint="eastAsia" w:ascii="宋体" w:hAnsi="宋体" w:eastAsia="宋体" w:cs="宋体"/>
          <w:b w:val="0"/>
          <w:bCs w:val="0"/>
          <w:i w:val="0"/>
          <w:color w:val="auto"/>
          <w:sz w:val="24"/>
          <w:szCs w:val="24"/>
          <w:highlight w:val="none"/>
          <w:u w:val="none"/>
          <w:lang w:val="en-US" w:eastAsia="zh-CN" w:bidi="ar"/>
        </w:rPr>
        <w:t xml:space="preserve">以上</w:t>
      </w:r>
      <w:r>
        <w:rPr>
          <w:rFonts w:hint="eastAsia" w:ascii="宋体" w:hAnsi="宋体" w:eastAsia="宋体" w:cs="宋体"/>
          <w:b w:val="0"/>
          <w:bCs w:val="0"/>
          <w:i w:val="0"/>
          <w:color w:val="auto"/>
          <w:sz w:val="24"/>
          <w:szCs w:val="24"/>
          <w:highlight w:val="none"/>
          <w:u w:val="none"/>
          <w:lang w:val="en-US" w:eastAsia="zh-CN" w:bidi="ar"/>
        </w:rPr>
        <w:t xml:space="preserve">内容</w:t>
      </w:r>
      <w:r/>
      <w:r>
        <w:rPr>
          <w:rFonts w:hint="eastAsia" w:ascii="宋体" w:hAnsi="宋体" w:eastAsia="宋体" w:cs="宋体"/>
          <w:b w:val="0"/>
          <w:bCs w:val="0"/>
          <w:i w:val="0"/>
          <w:color w:val="auto"/>
          <w:sz w:val="24"/>
          <w:szCs w:val="24"/>
          <w:highlight w:val="none"/>
          <w:u w:val="none"/>
          <w:lang w:val="en-US" w:eastAsia="zh-CN" w:bidi="ar"/>
        </w:rPr>
        <w:t xml:space="preserve">均为实质性内容</w:t>
      </w:r>
      <w:r>
        <w:rPr>
          <w:rFonts w:hint="eastAsia" w:ascii="宋体" w:hAnsi="宋体" w:eastAsia="宋体" w:cs="宋体"/>
          <w:b w:val="0"/>
          <w:bCs w:val="0"/>
          <w:i w:val="0"/>
          <w:color w:val="auto"/>
          <w:sz w:val="24"/>
          <w:szCs w:val="24"/>
          <w:highlight w:val="none"/>
          <w:u w:val="none"/>
          <w:lang w:val="en-US" w:eastAsia="zh-CN" w:bidi="ar"/>
        </w:rPr>
        <w:t xml:space="preserve">，不接受负偏离</w:t>
      </w:r>
      <w:r>
        <w:rPr>
          <w:rFonts w:hint="eastAsia" w:ascii="宋体" w:hAnsi="宋体" w:eastAsia="宋体" w:cs="宋体"/>
          <w:b w:val="0"/>
          <w:bCs w:val="0"/>
          <w:i w:val="0"/>
          <w:color w:val="auto"/>
          <w:sz w:val="24"/>
          <w:szCs w:val="24"/>
          <w:highlight w:val="none"/>
          <w:u w:val="none"/>
          <w:lang w:val="en-US" w:eastAsia="zh-CN" w:bidi="ar"/>
        </w:rPr>
        <w:t xml:space="preserve">，否则按无效标处理</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六、涉案车辆保管服务方案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1、时间要求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供应商提供涉案车辆保管时间为进入保管场地开始起至涉案车辆放行、当事人取走或业主指定转移其他场地等期间的全过程保管服务。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2、场地要求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供应商须提供足够且满足采购人及下属单位需求的涉案车辆保管服务的保管场地。供应商提供的所有保管场地须提前向采购人备案，如有变动的，须在征得采购人同意后落实同一区域且不少于原有保管场地面积的备用保管场地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2.2供应商提供的保管场地须具有合法、完备的手续，保证保管场地适合车辆停放，并设有汽车停放区、非汽车停放区，做到妥善保管。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2.3本项目所有保管场地须严格落实治安消防安全管理制度，配备封闭式围墙、防盗监控系统、消防灭火设备、防火隔离通道等设施，并交于采购人备案。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2.4本项目所有保管场地的车辆出入口及车辆停放位置须安装视频监控系统，系统可实现对整个保管场地进行监控，且监控记录可保存3个月以上，并能正常回放。</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2.5本项目所有保管场地围墙应为砖砌围墙或金属栏杆围墙，高度不低于2m，透视型围墙的应加装防攀爬护栏。停车场外围需设置醒目的指路引导牌，设置专用的出入口，出入口及停车场内并安装照明设施，24小时办理车辆存取手续，方便群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2.6本项目所有保管场地需硬化，满足停车需要。对涉案车辆按照事故、违法、机非分类管理。提供的停车场要专场专用，不得与其他服务项目或功能混用，保证其相对封闭性。</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2.7本项目所有保管场地应具备专用业务办公用房，具备连接互联网的电脑、打印机等办公设备。停车场内水电费由中标供应商承担。</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2.8供应商必须在涉案车辆保管场所悬挂合法的营业执照，设置专人看管，监控及安全防护设施齐全有效，有完善的安全管理制度及巡查措施，具备防雨、防晒、防火、防盗、防水淹等管理设施，保证停车场地的正常安全使用。</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2.9本项目所有保管场地应根据现行国家标准《建筑灭火器配置设计规范》GB50140的最新有关规定并根据不同车型、物品等燃烧特点，针对性设置各种类型灭火设施。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2.10供应商应承诺停车场地内发生的人员、车辆、财产等任何损失，由中标供应商承担全部法律及经济赔偿责任。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2.11合同期满后，供应商不得以任何理由向采购人主张包括土地平整设施设备采购或安装等在内产生的任何赔偿或补偿。</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3、人员要求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3.1供应商要配备足够且满足采购人及下属单位需求的涉案车辆保管服务配套的工作人员，确保保管场地全天24小时人员不间断。供应商须提前将派遣的所有工作人员资料信息向采购人备案，如有变动的，须在征得采购人同意后配备相同资质和能力的相应岗位其他工作人员替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3.2供应商配备的工作人员须与供应商签订劳动合同。工作中须统一着装，熟练规范安全操作，且必须听从执勤交警的指挥调度。工作人员应具有初中以上文化程度并能熟练使用涉案车辆管理系统。</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4、保管要求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供应商到达现场进行拖移前，须对被拖移车辆进行拍照存档，进入停车场地后除录入电脑，另须建立一车一卡一档的纸质台账，台账内容包括车辆牌照、车型、品牌、颜色、发动机号、车架号（电机号）、进场及出场时间、扣留单位、涉案车辆编码号、照片、拖移地、放车当事人签名等内容。</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4.2涉案车辆须凭强制措施凭证或涉案车辆编码号进入保管场地；无强制措施凭证或涉案车辆编码号的，供应商一律不得保管。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4.3供应商应建立涉案车辆财物登记制度，对保管的涉案车辆进行全面检查，分清车辆状况，清点车内存放财物，归入一车一卡一档。</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4.4供应商应分清暂扣车辆性质，存放于专辖区域，落实好保管措施，对车辆保管期间发生的损坏（包括自燃、被盗等情况）和随车物品的失少，承担赔偿责任。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4.5供应商应认真履行保管职责，建立严格的安全、保管制度，涉案车辆停入停车场的同时，供应商应立即将凭证信息、移交单信息、车辆信息、车辆照片等。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4.6供应商应每周定期检查停放车辆数量，对涉案车辆逐一核对，于每周五上午09时前将检查暂扣的涉案车辆及存量情况报采购人。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4.7对于涉案车辆卸货，由车主自行卸货，如委托停车场卸货的应有书面协议书，必须事先与车主谈妥卸货费用并由车主在委托书上签字，必须承诺自愿要求，杜绝出现乱收费现象。</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4.8当事人携带放车单于24小时内到停车场取车，停车场查验放车单后将车交还当事人。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4.9若当事人三个月未来处理的违法涉案车辆，由供应商于次月1日起3个工作日内将车辆信息报采购人。</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4.10供应商不得拆卸涉案车辆零件、私自放行涉案车辆离开保管地点，将涉案车辆挪作他用、擅自报废车辆的，造成涉案车辆损坏、其他人员伤害、物品损坏、油料失少等其他损失的，均由供应商负责；造成严重影响或后果的，采购人有权解除合同并同时追究供应商法律责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4.11供应商不得向当事人或其他单位（人）收取涉案车辆拖车、保管（在交通事故车辆保管期间，即法定期间内）等服务费用。</w:t>
      </w:r>
      <w:r/>
    </w:p>
    <w:p>
      <w:pPr>
        <w:ind w:firstLine="480"/>
        <w:spacing w:line="52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4.12供应商在合同履行期间，对中标辖区内中标前的库存涉案车辆（主城区内预计库存涉案车辆在2000辆左右、宿豫区内预计库存涉案车辆在1000辆左右、洋河新区内预计库存涉案车辆在1000辆左右，具体以实际为准），须接手进行免费保管，拖移至供应商停车场地或与原供应商协商仍停放原场地，按要求做好车辆停放管理工作，所有的管理规定与前述《涉案车辆拖车服务基本要求》中的相关要求相同。所需车辆拖移费、车辆停放费及可能产生的其他费用由供应商负责。供应商未按要求完成的，采购人有权解除合同。</w:t>
      </w:r>
      <w:r/>
    </w:p>
    <w:p>
      <w:pPr>
        <w:ind w:firstLine="480"/>
        <w:spacing w:line="520" w:lineRule="exact"/>
        <w:rPr>
          <w:rFonts w:hint="eastAsia" w:ascii="宋体" w:hAnsi="宋体" w:eastAsia="宋体" w:cs="宋体"/>
          <w:lang w:val="en-US" w:eastAsia="zh-CN"/>
        </w:rPr>
      </w:pPr>
      <w:r>
        <w:rPr>
          <w:rFonts w:hint="eastAsia" w:ascii="宋体" w:hAnsi="宋体" w:eastAsia="宋体" w:cs="宋体"/>
          <w:i w:val="0"/>
          <w:color w:val="auto"/>
          <w:sz w:val="24"/>
          <w:szCs w:val="24"/>
          <w:u w:val="none"/>
          <w:lang w:val="en-US" w:eastAsia="zh-CN" w:bidi="ar"/>
        </w:rPr>
        <w:t xml:space="preserve">4.13涉案车辆保管天数在20日内按中标计价计费；20日-40日内的按中标价计费标准半价计费；超过40日部分每天收取1元，但大型汽车不超过100元，小型汽车不超过50元，其他车辆不超过30元。</w:t>
      </w:r>
      <w:r/>
    </w:p>
    <w:p>
      <w:pPr>
        <w:ind w:firstLine="480"/>
        <w:jc w:val="left"/>
        <w:spacing w:line="500" w:lineRule="exact"/>
        <w:rPr>
          <w:rFonts w:hint="eastAsia" w:ascii="宋体" w:hAnsi="宋体" w:eastAsia="宋体" w:cs="宋体"/>
          <w:bCs w:val="0"/>
          <w:i w:val="0"/>
          <w:color w:val="auto"/>
          <w:sz w:val="24"/>
          <w:szCs w:val="24"/>
          <w:highlight w:val="none"/>
          <w:u w:val="none"/>
          <w:lang w:val="en-US" w:eastAsia="zh-CN" w:bidi="ar"/>
        </w:rPr>
      </w:pPr>
      <w:r>
        <w:rPr>
          <w:rFonts w:hint="eastAsia" w:ascii="宋体" w:hAnsi="宋体" w:eastAsia="宋体" w:cs="宋体"/>
          <w:i w:val="0"/>
          <w:color w:val="auto"/>
          <w:sz w:val="24"/>
          <w:szCs w:val="24"/>
          <w:u w:val="none"/>
          <w:lang w:val="en-US" w:eastAsia="zh-CN" w:bidi="ar"/>
        </w:rPr>
        <w:t xml:space="preserve">4.14因供应商原因，造成严重影响或后果的，采购人有权解除合同。</w:t>
      </w:r>
      <w:r/>
    </w:p>
    <w:p>
      <w:pPr>
        <w:ind w:firstLine="480"/>
        <w:jc w:val="left"/>
        <w:spacing w:line="500" w:lineRule="exact"/>
        <w:rPr>
          <w:rFonts w:hint="eastAsia" w:ascii="宋体" w:hAnsi="宋体" w:eastAsia="宋体" w:cs="宋体"/>
          <w:bCs w:val="0"/>
          <w:i w:val="0"/>
          <w:color w:val="ff0000"/>
          <w:sz w:val="24"/>
          <w:szCs w:val="24"/>
          <w:u w:val="none"/>
          <w:lang w:val="en-US" w:eastAsia="zh-CN" w:bidi="ar"/>
        </w:rPr>
      </w:pPr>
      <w:r>
        <w:rPr>
          <w:rFonts w:hint="eastAsia" w:ascii="宋体" w:hAnsi="宋体" w:eastAsia="宋体" w:cs="宋体"/>
          <w:i w:val="0"/>
          <w:color w:val="auto"/>
          <w:sz w:val="24"/>
          <w:szCs w:val="24"/>
          <w:highlight w:val="none"/>
          <w:u w:val="none"/>
          <w:lang w:val="en-US" w:eastAsia="zh-CN" w:bidi="ar"/>
        </w:rPr>
      </w:r>
      <w:r>
        <w:rPr>
          <w:rFonts w:hint="eastAsia" w:ascii="宋体" w:hAnsi="宋体" w:eastAsia="宋体" w:cs="宋体"/>
          <w:i w:val="0"/>
          <w:color w:val="auto"/>
          <w:sz w:val="24"/>
          <w:szCs w:val="24"/>
          <w:highlight w:val="none"/>
          <w:u w:val="none"/>
          <w:lang w:val="en-US" w:eastAsia="zh-CN" w:bidi="ar"/>
        </w:rPr>
        <w:t xml:space="preserve">注;</w:t>
      </w:r>
      <w:r>
        <w:rPr>
          <w:rFonts w:hint="eastAsia" w:ascii="宋体" w:hAnsi="宋体" w:eastAsia="宋体" w:cs="宋体"/>
          <w:b w:val="0"/>
          <w:bCs w:val="0"/>
          <w:i w:val="0"/>
          <w:color w:val="auto"/>
          <w:sz w:val="24"/>
          <w:szCs w:val="24"/>
          <w:highlight w:val="none"/>
          <w:u w:val="none"/>
          <w:lang w:val="en-US" w:eastAsia="zh-CN" w:bidi="ar"/>
        </w:rPr>
        <w:t xml:space="preserve">以上</w:t>
      </w:r>
      <w:r>
        <w:rPr>
          <w:rFonts w:hint="eastAsia" w:ascii="宋体" w:hAnsi="宋体" w:eastAsia="宋体" w:cs="宋体"/>
          <w:b w:val="0"/>
          <w:bCs w:val="0"/>
          <w:i w:val="0"/>
          <w:color w:val="auto"/>
          <w:sz w:val="24"/>
          <w:szCs w:val="24"/>
          <w:highlight w:val="none"/>
          <w:u w:val="none"/>
          <w:lang w:val="en-US" w:eastAsia="zh-CN" w:bidi="ar"/>
        </w:rPr>
        <w:t xml:space="preserve">内容</w:t>
      </w:r>
      <w:r/>
      <w:r>
        <w:rPr>
          <w:rFonts w:hint="eastAsia" w:ascii="宋体" w:hAnsi="宋体" w:eastAsia="宋体" w:cs="宋体"/>
          <w:b w:val="0"/>
          <w:bCs w:val="0"/>
          <w:i w:val="0"/>
          <w:color w:val="auto"/>
          <w:sz w:val="24"/>
          <w:szCs w:val="24"/>
          <w:highlight w:val="none"/>
          <w:u w:val="none"/>
          <w:lang w:val="en-US" w:eastAsia="zh-CN" w:bidi="ar"/>
        </w:rPr>
        <w:t xml:space="preserve">均为实质性内容</w:t>
      </w:r>
      <w:r>
        <w:rPr>
          <w:rFonts w:hint="eastAsia" w:ascii="宋体" w:hAnsi="宋体" w:eastAsia="宋体" w:cs="宋体"/>
          <w:b w:val="0"/>
          <w:bCs w:val="0"/>
          <w:i w:val="0"/>
          <w:color w:val="auto"/>
          <w:sz w:val="24"/>
          <w:szCs w:val="24"/>
          <w:highlight w:val="none"/>
          <w:u w:val="none"/>
          <w:lang w:val="en-US" w:eastAsia="zh-CN" w:bidi="ar"/>
        </w:rPr>
        <w:t xml:space="preserve">，不接受负偏离</w:t>
      </w:r>
      <w:r>
        <w:rPr>
          <w:rFonts w:hint="eastAsia" w:ascii="宋体" w:hAnsi="宋体" w:eastAsia="宋体" w:cs="宋体"/>
          <w:b w:val="0"/>
          <w:bCs w:val="0"/>
          <w:i w:val="0"/>
          <w:color w:val="auto"/>
          <w:sz w:val="24"/>
          <w:szCs w:val="24"/>
          <w:highlight w:val="none"/>
          <w:u w:val="none"/>
          <w:lang w:val="en-US" w:eastAsia="zh-CN" w:bidi="ar"/>
        </w:rPr>
        <w:t xml:space="preserve">，否则按无效标处理</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i w:val="0"/>
          <w:color w:val="auto"/>
          <w:sz w:val="24"/>
          <w:szCs w:val="24"/>
          <w:highlight w:val="none"/>
          <w:u w:val="none"/>
          <w:lang w:val="en-US" w:eastAsia="zh-CN" w:bidi="ar"/>
        </w:rPr>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七、项目服务要求</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1、投标人投标时需提交针对本项目的服务方案(包括车辆安排、设施设备安排、人员安排、交接程序、报表台账等服务承诺等)。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2、投标人应对每个服务区域的</w:t>
      </w:r>
      <w:r>
        <w:rPr>
          <w:rFonts w:hint="eastAsia" w:ascii="宋体" w:hAnsi="宋体" w:eastAsia="宋体" w:cs="宋体"/>
          <w:sz w:val="24"/>
          <w:szCs w:val="28"/>
        </w:rPr>
        <w:t xml:space="preserve">停车场办理相应责任险种</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包括但不限于</w:t>
      </w:r>
      <w:r>
        <w:rPr>
          <w:rFonts w:hint="eastAsia" w:ascii="宋体" w:hAnsi="宋体" w:eastAsia="宋体" w:cs="宋体"/>
          <w:sz w:val="24"/>
          <w:szCs w:val="28"/>
        </w:rPr>
        <w:t xml:space="preserve">火灾公责险、盗抢险等</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保单金额不低于64</w:t>
      </w:r>
      <w:r>
        <w:rPr>
          <w:rFonts w:hint="eastAsia" w:ascii="宋体" w:hAnsi="宋体" w:cs="宋体"/>
          <w:sz w:val="24"/>
          <w:szCs w:val="28"/>
          <w:lang w:val="en-US" w:eastAsia="zh-CN"/>
        </w:rPr>
        <w:t xml:space="preserve">9</w:t>
      </w:r>
      <w:r>
        <w:rPr>
          <w:rFonts w:hint="eastAsia" w:ascii="宋体" w:hAnsi="宋体" w:eastAsia="宋体" w:cs="宋体"/>
          <w:sz w:val="24"/>
          <w:szCs w:val="28"/>
          <w:lang w:val="en-US" w:eastAsia="zh-CN"/>
        </w:rPr>
        <w:t xml:space="preserve">万元</w:t>
      </w:r>
      <w:r>
        <w:rPr>
          <w:rFonts w:hint="eastAsia" w:ascii="宋体" w:hAnsi="宋体" w:eastAsia="宋体" w:cs="宋体"/>
          <w:i w:val="0"/>
          <w:color w:val="auto"/>
          <w:sz w:val="24"/>
          <w:szCs w:val="24"/>
          <w:u w:val="none"/>
          <w:lang w:val="en-US" w:eastAsia="zh-CN" w:bidi="ar"/>
        </w:rPr>
        <w:t xml:space="preserve">（含）。</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3、投标人工作人员分岗位统一着装、佩戴标志、工作证(包含相片、姓名、职务、工号)，行为规范，服务主动、细致、周到，用语文明。</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投标人对车辆进出停车场有严格的登记制度(设立台账)，录入涉案财物管理系统，有完善的车辆移交登记手续(车辆逐辆移交登记台帐)，移交时要对每辆进行拍照存档。放行车辆时，停车场工作人员要将被放行车辆移至车辆放行区后，办理车辆移交手续，不得让取车人自行到车场内部取车。</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5、投标人在交通事故车辆保管期间(即法定期间内)，不得向当事人收取停车费。但经采购人通知未及时领取车辆的，停放保管费用由当事人承担。当事人承担的停放保管费，应自通知领取车辆之日的次日起，按照物价主管部门报备收费标准收取费用，但收费总额不得超过按照本招标文件收费标准、收费规则计算得出的费用金额。</w:t>
      </w:r>
      <w:r/>
    </w:p>
    <w:p>
      <w:pPr>
        <w:ind w:right="0" w:firstLine="480"/>
        <w:jc w:val="both"/>
        <w:keepLines w:val="0"/>
        <w:keepNext w:val="0"/>
        <w:pageBreakBefore w:val="0"/>
        <w:spacing w:line="560" w:lineRule="exact"/>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投标人收费范围和标准必须上墙公布，不得另立收费项目、标准或超出收费范围收费。若存在违规行为，采购人有权要求供应商立即整改，对于拒绝整改或多次发生违规行为的，采购人有权责令中标单位停业整顿或终止合同。</w:t>
      </w:r>
      <w:r/>
    </w:p>
    <w:p>
      <w:pPr>
        <w:ind w:right="0" w:firstLine="480"/>
        <w:jc w:val="both"/>
        <w:keepLines w:val="0"/>
        <w:keepNext w:val="0"/>
        <w:pageBreakBefore w:val="0"/>
        <w:spacing w:line="560" w:lineRule="exact"/>
        <w:shd w:val="clear" w:color="auto" w:fill="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t xml:space="preserve">投标人停车场领取车辆窗口工作时间最低范围应在7：00—24：00（含节假日），情况特殊的，接采购人通知后，立即到场处置。</w:t>
      </w:r>
      <w:r/>
    </w:p>
    <w:p>
      <w:pPr>
        <w:ind w:right="0" w:firstLine="200"/>
        <w:jc w:val="both"/>
        <w:keepLines w:val="0"/>
        <w:keepNext w:val="0"/>
        <w:pageBreakBefore w:val="0"/>
        <w:spacing w:line="560" w:lineRule="exact"/>
        <w:shd w:val="clear" w:color="auto" w:fill="auto"/>
        <w:widowControl w:val="off"/>
        <w:rPr>
          <w:rFonts w:hint="eastAsia" w:ascii="宋体" w:hAnsi="宋体" w:eastAsia="宋体" w:cs="宋体"/>
          <w:b w:val="0"/>
          <w:color w:val="000000"/>
          <w:sz w:val="24"/>
          <w:szCs w:val="24"/>
          <w:highlight w:val="none"/>
          <w:lang w:val="en-US" w:eastAsia="zh-CN" w:bidi="ar-SA"/>
        </w:rPr>
        <w:outlineLvl w:val="2"/>
      </w:pPr>
      <w:r>
        <w:rPr>
          <w:rFonts w:hint="eastAsia" w:ascii="宋体" w:hAnsi="宋体" w:eastAsia="宋体" w:cs="宋体"/>
          <w:b w:val="0"/>
          <w:color w:val="000000"/>
          <w:sz w:val="24"/>
          <w:szCs w:val="24"/>
          <w:highlight w:val="none"/>
          <w:lang w:val="en-US" w:eastAsia="zh-CN" w:bidi="ar-SA"/>
        </w:rPr>
        <w:t xml:space="preserve">8、投标人停车场工作人员要工作规范，热情接待办事群众，避免发生矛盾争执等问题。</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9、投标人停车场工作人员要工作规范，熟练操作涉案财物管理系统，热情接待办事群众，避免发生矛盾争执等问题。</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10、投标人停车场在车辆接收时，要做好车况检查、核对工作，详细记录车辆外观、车辆燃油、车内物品情况，记录归档，并拍照、录像。</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11、投标人工作人员不得挪用或侵占暂停车辆的随车物品，不得挪用、损坏车辆，如违反规定造成一切责任均由供应商单独负责并承担相应的赔偿及法律责任。</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12、投标人停车场因保管不善造成车辆损坏、物品丢失的，承担一切赔偿责任。</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13、投标人保管的车辆、货物放行，必须经采购人开具车辆放行通知单或货物领取单。停车场不得擅自使用、转借、处理保管车辆、物品。</w:t>
      </w:r>
      <w:r/>
    </w:p>
    <w:p>
      <w:pPr>
        <w:ind w:firstLine="480"/>
        <w:jc w:val="both"/>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rPr>
          <w:rFonts w:hint="eastAsia" w:ascii="宋体" w:hAnsi="宋体" w:eastAsia="宋体" w:cs="宋体"/>
          <w:i w:val="0"/>
          <w:color w:val="auto"/>
          <w:sz w:val="24"/>
          <w:szCs w:val="24"/>
          <w:highlight w:val="none"/>
          <w:u w:val="none"/>
          <w:lang w:val="en-US" w:eastAsia="zh-CN" w:bidi="ar"/>
        </w:rPr>
        <w:t xml:space="preserve">注;</w:t>
      </w:r>
      <w:r>
        <w:rPr>
          <w:rFonts w:hint="eastAsia" w:ascii="宋体" w:hAnsi="宋体" w:eastAsia="宋体" w:cs="宋体"/>
          <w:b w:val="0"/>
          <w:bCs w:val="0"/>
          <w:i w:val="0"/>
          <w:color w:val="auto"/>
          <w:sz w:val="24"/>
          <w:szCs w:val="24"/>
          <w:highlight w:val="none"/>
          <w:u w:val="none"/>
          <w:lang w:val="en-US" w:eastAsia="zh-CN" w:bidi="ar"/>
        </w:rPr>
        <w:t xml:space="preserve">以上</w:t>
      </w:r>
      <w:r>
        <w:rPr>
          <w:rFonts w:hint="eastAsia" w:ascii="宋体" w:hAnsi="宋体" w:eastAsia="宋体" w:cs="宋体"/>
          <w:b w:val="0"/>
          <w:bCs w:val="0"/>
          <w:i w:val="0"/>
          <w:color w:val="auto"/>
          <w:sz w:val="24"/>
          <w:szCs w:val="24"/>
          <w:highlight w:val="none"/>
          <w:u w:val="none"/>
          <w:lang w:val="en-US" w:eastAsia="zh-CN" w:bidi="ar"/>
        </w:rPr>
        <w:t xml:space="preserve">内容</w:t>
      </w:r>
      <w:r/>
      <w:r>
        <w:rPr>
          <w:rFonts w:hint="eastAsia" w:ascii="宋体" w:hAnsi="宋体" w:eastAsia="宋体" w:cs="宋体"/>
          <w:b w:val="0"/>
          <w:bCs w:val="0"/>
          <w:i w:val="0"/>
          <w:color w:val="auto"/>
          <w:sz w:val="24"/>
          <w:szCs w:val="24"/>
          <w:highlight w:val="none"/>
          <w:u w:val="none"/>
          <w:lang w:val="en-US" w:eastAsia="zh-CN" w:bidi="ar"/>
        </w:rPr>
        <w:t xml:space="preserve">均为实质性内容</w:t>
      </w:r>
      <w:r>
        <w:rPr>
          <w:rFonts w:hint="eastAsia" w:ascii="宋体" w:hAnsi="宋体" w:eastAsia="宋体" w:cs="宋体"/>
          <w:b w:val="0"/>
          <w:bCs w:val="0"/>
          <w:i w:val="0"/>
          <w:color w:val="auto"/>
          <w:sz w:val="24"/>
          <w:szCs w:val="24"/>
          <w:highlight w:val="none"/>
          <w:u w:val="none"/>
          <w:lang w:val="en-US" w:eastAsia="zh-CN" w:bidi="ar"/>
        </w:rPr>
        <w:t xml:space="preserve">，不接受负偏离</w:t>
      </w:r>
      <w:r>
        <w:rPr>
          <w:rFonts w:hint="eastAsia" w:ascii="宋体" w:hAnsi="宋体" w:eastAsia="宋体" w:cs="宋体"/>
          <w:b w:val="0"/>
          <w:bCs w:val="0"/>
          <w:i w:val="0"/>
          <w:color w:val="auto"/>
          <w:sz w:val="24"/>
          <w:szCs w:val="24"/>
          <w:highlight w:val="none"/>
          <w:u w:val="none"/>
          <w:lang w:val="en-US" w:eastAsia="zh-CN" w:bidi="ar"/>
        </w:rPr>
        <w:t xml:space="preserve">，否则按无效标处理</w:t>
      </w:r>
      <w:r>
        <w:rPr>
          <w:rFonts w:hint="eastAsia" w:ascii="宋体" w:hAnsi="宋体" w:eastAsia="宋体" w:cs="宋体"/>
          <w:b w:val="0"/>
          <w:bCs w:val="0"/>
          <w:i w:val="0"/>
          <w:color w:val="auto"/>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SA"/>
        </w:rPr>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八、管理制度</w:t>
      </w:r>
      <w:r/>
    </w:p>
    <w:p>
      <w:pPr>
        <w:ind w:firstLine="480"/>
        <w:jc w:val="left"/>
        <w:spacing w:line="500" w:lineRule="exact"/>
        <w:rPr>
          <w:rFonts w:hint="eastAsia" w:ascii="宋体" w:hAnsi="宋体" w:eastAsia="宋体" w:cs="宋体"/>
          <w:i w:val="0"/>
          <w:color w:val="auto"/>
          <w:sz w:val="24"/>
          <w:szCs w:val="24"/>
          <w:u w:val="none"/>
          <w:lang w:val="en-US" w:eastAsia="zh-CN" w:bidi="ar"/>
        </w:rPr>
      </w:pPr>
      <w:r/>
      <w:bookmarkStart w:id="134" w:name="_Toc9623"/>
      <w:r>
        <w:rPr>
          <w:rFonts w:hint="eastAsia" w:ascii="宋体" w:hAnsi="宋体" w:eastAsia="宋体" w:cs="宋体"/>
          <w:i w:val="0"/>
          <w:color w:val="auto"/>
          <w:sz w:val="24"/>
          <w:szCs w:val="24"/>
          <w:u w:val="none"/>
          <w:lang w:val="en-US" w:eastAsia="zh-CN" w:bidi="ar"/>
        </w:rPr>
        <w:t xml:space="preserve">投标人提供针对本项目的管理规章制度，内容至少包括以下：</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1、相关规章制度，安全管理、日常管理、消防、安保等。</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2、内部管理规范，包括对参与救援员工安全教育管理，提供必要的安全防护措施，与服务人员签订劳动合同、办理人身意外伤害保险。</w:t>
      </w:r>
      <w:bookmarkEnd w:id="134"/>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3、建立健全内部考核制度，有效激发项目组工作人员的工作积极性，结合项目管理服务实际，对项目组人员服务态度、服务水平、服务成效等进行考核，形成科学严密的制度管理体系。</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4、建立健全涉案车辆拖曳、停放保管及交通违法超期滞留车辆处置的安全管理制度，明确职责分工、操作流程和安全要求。</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九、培训方案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1、投标人应当建立健全从业人员教育、培训机制，提高从业人员的职业道德水平，增强交通安全意识和清障施救服务技能。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2、拖车队工作人员需经过拖车有关知识的培训后方可上岗。</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投标人应当建立全面的培训制度，定期开展员工培训，加强人员技能培养，每年至少开展培训两次，培训内容包括操作技能培训、日常管理培训、突发时间处理培训、目标及言行规范，仪容仪表，公众形象等，进一步加强项目组人员职业素养的提升。</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4、投标人应加强对其服务人员的安全生产教育培训，严格管理，遵守国家法律法规，保证服务人员安全。由乙方负责服务范围内的一切安全防护措施，并承担服务范围内的一切安全责任，甲方不承担任何责任。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bookmarkStart w:id="135" w:name="_Toc9336"/>
      <w:r>
        <w:rPr>
          <w:rFonts w:hint="eastAsia" w:ascii="宋体" w:hAnsi="宋体" w:eastAsia="宋体" w:cs="宋体"/>
          <w:b/>
          <w:bCs/>
          <w:i w:val="0"/>
          <w:color w:val="auto"/>
          <w:sz w:val="24"/>
          <w:szCs w:val="24"/>
          <w:u w:val="none"/>
          <w:lang w:val="en-US" w:eastAsia="zh-CN" w:bidi="ar"/>
        </w:rPr>
        <w:t xml:space="preserve">十、应急预案</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1、投标人应建立各种公共突发性事件(如：消防、水、电、公共卫生、自然灾害等)的处理机制和预案，包括组织机构、人员和具体措施等，一旦发生突发事件即能随时启动预案立即付诸实施。</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2、投标人应建立突发事件、安全管控或特殊状况下的管理预案（包括各环节流程及规范及操作要求；</w:t>
      </w:r>
      <w:r>
        <w:rPr>
          <w:rFonts w:hint="eastAsia" w:ascii="宋体" w:hAnsi="宋体" w:eastAsia="宋体" w:cs="宋体"/>
          <w:i w:val="0"/>
          <w:color w:val="auto"/>
          <w:sz w:val="24"/>
          <w:szCs w:val="24"/>
          <w:u w:val="none"/>
          <w:lang w:val="zh-CN" w:eastAsia="zh-CN" w:bidi="ar"/>
        </w:rPr>
        <w:t xml:space="preserve">对于简易、一般、重大交通事故分别有合理的救援流程预案、突发紧急情况的应急预案等</w:t>
      </w:r>
      <w:r>
        <w:rPr>
          <w:rFonts w:hint="eastAsia" w:ascii="宋体" w:hAnsi="宋体" w:eastAsia="宋体" w:cs="宋体"/>
          <w:i w:val="0"/>
          <w:color w:val="auto"/>
          <w:sz w:val="24"/>
          <w:szCs w:val="24"/>
          <w:u w:val="none"/>
          <w:lang w:val="en-US" w:eastAsia="zh-CN" w:bidi="ar"/>
        </w:rPr>
        <w:t xml:space="preserve">）。</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3、投标人的服务配套的工作人员应能够应急处理正常业务，并保证保管点24小时人员不断。</w:t>
      </w:r>
      <w:r/>
    </w:p>
    <w:p>
      <w:pPr>
        <w:ind w:firstLine="480"/>
        <w:jc w:val="left"/>
        <w:spacing w:line="500" w:lineRule="exact"/>
        <w:rPr>
          <w:rFonts w:hint="eastAsia" w:ascii="宋体" w:hAnsi="宋体" w:eastAsia="宋体" w:cs="宋体"/>
          <w:i w:val="0"/>
          <w:color w:val="auto"/>
          <w:sz w:val="24"/>
          <w:szCs w:val="24"/>
          <w:u w:val="none"/>
          <w:lang w:val="en-US" w:eastAsia="zh-CN" w:bidi="ar"/>
        </w:rPr>
      </w:pPr>
      <w:r>
        <w:rPr>
          <w:rFonts w:hint="eastAsia" w:ascii="宋体" w:hAnsi="宋体" w:eastAsia="宋体" w:cs="宋体"/>
          <w:i w:val="0"/>
          <w:color w:val="auto"/>
          <w:sz w:val="24"/>
          <w:szCs w:val="24"/>
          <w:u w:val="none"/>
          <w:lang w:val="en-US" w:eastAsia="zh-CN" w:bidi="ar"/>
        </w:rPr>
        <w:t xml:space="preserve">4、应建有与停车场规模相当的消防、防爆设施，制定完善符合消防规定的消防管理制度和工作应急预案。</w:t>
      </w:r>
      <w:r/>
    </w:p>
    <w:p>
      <w:pPr>
        <w:ind w:firstLine="480"/>
        <w:jc w:val="left"/>
        <w:spacing w:line="500" w:lineRule="exact"/>
        <w:rPr>
          <w:rFonts w:hint="eastAsia" w:ascii="宋体" w:hAnsi="宋体" w:eastAsia="宋体" w:cs="宋体"/>
          <w:lang w:val="en-US" w:eastAsia="zh-CN"/>
        </w:rPr>
      </w:pPr>
      <w:r>
        <w:rPr>
          <w:rFonts w:hint="eastAsia" w:ascii="宋体" w:hAnsi="宋体" w:eastAsia="宋体" w:cs="宋体"/>
          <w:i w:val="0"/>
          <w:color w:val="auto"/>
          <w:sz w:val="24"/>
          <w:szCs w:val="24"/>
          <w:u w:val="none"/>
          <w:lang w:val="en-US" w:eastAsia="zh-CN" w:bidi="ar"/>
        </w:rPr>
        <w:t xml:space="preserve">5、如遇大型群体性活动或重点路段的清障车应急清障准备，清障车应按招标人指定时间及地点进行备勤，并按招标人要求进行巡逻或拖移车辆。备勤保障车必须在招标人发出结束指令后方可撤离。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十一、保密</w:t>
      </w:r>
      <w:bookmarkEnd w:id="135"/>
      <w:r>
        <w:rPr>
          <w:rFonts w:hint="eastAsia" w:ascii="宋体" w:hAnsi="宋体" w:eastAsia="宋体" w:cs="宋体"/>
          <w:b/>
          <w:bCs/>
          <w:i w:val="0"/>
          <w:color w:val="auto"/>
          <w:sz w:val="24"/>
          <w:szCs w:val="24"/>
          <w:u w:val="none"/>
          <w:lang w:val="en-US" w:eastAsia="zh-CN" w:bidi="ar"/>
        </w:rPr>
        <w:t xml:space="preserve">要求</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必须对所有车辆信息制定保密措施，严禁挪作他用，严禁信息泄露。如发生泄露事件，除依法承担法律责任外，取消本项目成交资格。</w:t>
      </w:r>
      <w:r/>
    </w:p>
    <w:p>
      <w:pPr>
        <w:ind w:firstLine="480"/>
        <w:spacing w:line="520" w:lineRule="exact"/>
        <w:rPr>
          <w:rFonts w:hint="eastAsia" w:ascii="宋体" w:hAnsi="宋体" w:eastAsia="宋体" w:cs="宋体"/>
          <w:lang w:val="en-US" w:eastAsia="zh-CN"/>
        </w:rPr>
      </w:pPr>
      <w:r>
        <w:rPr>
          <w:rFonts w:hint="eastAsia" w:ascii="宋体" w:hAnsi="宋体" w:eastAsia="宋体" w:cs="宋体"/>
          <w:color w:val="000000"/>
          <w:sz w:val="24"/>
          <w:szCs w:val="24"/>
          <w:lang w:val="zh-CN" w:eastAsia="zh-CN"/>
        </w:rPr>
        <w:t xml:space="preserve">工作中涉及的敏感资料、电子数据等相关信息，</w:t>
      </w:r>
      <w:r>
        <w:rPr>
          <w:rFonts w:hint="eastAsia" w:ascii="宋体" w:hAnsi="宋体" w:eastAsia="宋体" w:cs="宋体"/>
          <w:color w:val="000000"/>
          <w:sz w:val="24"/>
          <w:szCs w:val="24"/>
          <w:lang w:val="en-US" w:eastAsia="zh-CN"/>
        </w:rPr>
        <w:t xml:space="preserve">成交供应商</w:t>
      </w:r>
      <w:r>
        <w:rPr>
          <w:rFonts w:hint="eastAsia" w:ascii="宋体" w:hAnsi="宋体" w:eastAsia="宋体" w:cs="宋体"/>
          <w:color w:val="000000"/>
          <w:sz w:val="24"/>
          <w:szCs w:val="24"/>
          <w:lang w:val="zh-CN" w:eastAsia="zh-CN"/>
        </w:rPr>
        <w:t xml:space="preserve">应严格执行保密的相关规定，不得以任何方式向任何第三人披露、泄露或许可第三人使用，否则追究其相应法律责任。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十二、考核</w:t>
      </w:r>
      <w:r>
        <w:rPr>
          <w:rFonts w:hint="eastAsia" w:ascii="宋体" w:hAnsi="宋体" w:cs="宋体"/>
          <w:b/>
          <w:bCs/>
          <w:i w:val="0"/>
          <w:color w:val="auto"/>
          <w:sz w:val="24"/>
          <w:szCs w:val="24"/>
          <w:u w:val="none"/>
          <w:lang w:val="en-US" w:eastAsia="zh-CN" w:bidi="ar"/>
        </w:rPr>
        <w:t xml:space="preserve">标准</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采购人对中标人的服务情况每季度考核不少于1次，审核时对车辆、设备、人员、工作报表、台帐等不符合采购人要求或未按照采购人要求规范填写相关凭证的或未做好清理车辆的登记、核对工作的或作业中发生事故，中标人未立即通知采购人等构成违约情况的，采购人均有权发出整改通知书，并按照违约责任进行处理。采购人将“12345热线”、信访、督察受理投诉情况纳入季度考核，结合考核情况和服务效果进行验收，凡涉及违约扣款的，均先在季度付款中扣减。</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2.违约责任：甲方有权对乙方的考核情况和服务效果进行验收。乙方若出现下列行为情形的，甲方有权对乙方作出扣款处理，情节严重的有权终止本合同：</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（1）不符合招标文件中关于拖车移车服务要求的，发生一次扣200元。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（2）对交警部门工作指令，存在推诿、拒绝等现象的，发生一次扣1000元。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（3）未经甲方同意，擅自将其他车辆停放在保管场地内的，发生一次扣500元。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（4）未经甲方同意，擅自将查扣车辆停放在指定车辆保管场地之外的，发生一次扣1000元。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（5）擅自向当事人收取拖车移车服务费用的或借收取“拖移车费”为由收取其他费用的，发现一次扣1500元；已收取费用的，按收取费用金额的双倍扣除违约金。</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（6）有乱收费投诉或有责投诉的，发生一次扣2000元；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（7）服务人员发生被媒体曝光或影响甲方公众形象经查证属实的，发生一次扣2000元。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（8）未按要求做好值班备勤工作的，发现一次扣200-1000元。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（9）违反车辆管理规定及其他相关规定的要求被甲方要求限期整改拒不整改或整改不到位的，发现一次扣200-1000元。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（10）拖车、移车期间，若发生拆卸、偷盗、侵占、挪用、修理等情况恶劣的情形，发生一次扣1000元，造成损失的按照实际损失进行赔偿。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（11）乙方造成当事人财产损失的，全额赔偿。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（12）乙方虚报、乱报拖移车费用，经审核发现，按核减额等额扣款。</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（13）其它不当情形的，每次视情扣1000-10000元。</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（14）凡涉及违约扣款的，均先在季度付款中扣减；每季度的服务费不够扣减的，在履约保证金中扣减；履约保证金也不足以向甲方支付违约金的甲方有权就剩余部分向乙方追偿。</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（15）单项违约情形次数超过5次（含）的，采购人有权终止本合同。</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（16）造成严重影响或后果的，甲方有权解除合同并同时追究乙方法律责任。</w:t>
      </w:r>
      <w:r/>
    </w:p>
    <w:p>
      <w:pPr>
        <w:ind w:firstLine="482"/>
        <w:jc w:val="left"/>
        <w:spacing w:line="500" w:lineRule="exact"/>
        <w:rPr>
          <w:rFonts w:hint="eastAsia" w:ascii="宋体" w:hAnsi="宋体" w:eastAsia="宋体" w:cs="宋体"/>
          <w:b/>
          <w:bCs/>
          <w:i w:val="0"/>
          <w:color w:val="auto"/>
          <w:sz w:val="24"/>
          <w:szCs w:val="24"/>
          <w:u w:val="none"/>
          <w:lang w:val="en-US" w:eastAsia="zh-CN" w:bidi="ar"/>
        </w:rPr>
      </w:pPr>
      <w:r>
        <w:rPr>
          <w:rFonts w:hint="eastAsia" w:ascii="宋体" w:hAnsi="宋体" w:eastAsia="宋体" w:cs="宋体"/>
          <w:b/>
          <w:bCs/>
          <w:i w:val="0"/>
          <w:color w:val="auto"/>
          <w:sz w:val="24"/>
          <w:szCs w:val="24"/>
          <w:u w:val="none"/>
          <w:lang w:val="en-US" w:eastAsia="zh-CN" w:bidi="ar"/>
        </w:rPr>
        <w:t xml:space="preserve">十三、验收要求</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（1）甲方依法组织履约验收工作。</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（3）对于实际使用人和甲方分离的项目，甲方邀请实际使用人参与验收。</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（4）如有必要，甲方邀请参加本项目的其他供应商或第三方专业机构及专家参与验收，相关意见将作为验收书的参考资料。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b w:val="0"/>
          <w:bCs w:val="0"/>
          <w:i w:val="0"/>
          <w:color w:val="auto"/>
          <w:sz w:val="24"/>
          <w:szCs w:val="24"/>
          <w:u w:val="none"/>
          <w:lang w:val="en-US" w:eastAsia="zh-CN" w:bidi="ar"/>
        </w:rPr>
      </w:pPr>
      <w:r>
        <w:rPr>
          <w:rFonts w:hint="eastAsia" w:ascii="宋体" w:hAnsi="宋体" w:eastAsia="宋体" w:cs="宋体"/>
          <w:b w:val="0"/>
          <w:bCs w:val="0"/>
          <w:i w:val="0"/>
          <w:color w:val="auto"/>
          <w:sz w:val="24"/>
          <w:szCs w:val="24"/>
          <w:u w:val="none"/>
          <w:lang w:val="en-US" w:eastAsia="zh-CN" w:bidi="ar"/>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13"/>
        <w:jc w:val="center"/>
        <w:spacing w:before="200"/>
        <w:rPr>
          <w:rFonts w:hint="eastAsia" w:ascii="宋体" w:hAnsi="宋体" w:eastAsia="宋体" w:cs="宋体"/>
          <w:b/>
          <w:sz w:val="44"/>
          <w:szCs w:val="44"/>
        </w:rPr>
      </w:pPr>
      <w:r>
        <w:rPr>
          <w:rFonts w:hint="eastAsia" w:ascii="宋体" w:hAnsi="宋体" w:eastAsia="宋体" w:cs="宋体"/>
          <w:b/>
          <w:sz w:val="44"/>
          <w:szCs w:val="44"/>
        </w:rPr>
        <w:t xml:space="preserve">第五章合同文本</w:t>
      </w:r>
      <w:bookmarkEnd w:id="128"/>
      <w:r/>
      <w:bookmarkEnd w:id="129"/>
      <w:r/>
      <w:bookmarkEnd w:id="130"/>
      <w:r/>
      <w:bookmarkEnd w:id="131"/>
      <w:r/>
      <w:bookmarkEnd w:id="132"/>
      <w:r/>
      <w:bookmarkStart w:id="136" w:name="_Toc513029243"/>
      <w:r/>
      <w:bookmarkStart w:id="137" w:name="_Toc16938559"/>
      <w:r/>
      <w:bookmarkStart w:id="138" w:name="_Toc20823315"/>
      <w:r/>
      <w:r/>
    </w:p>
    <w:p>
      <w:pPr>
        <w:pStyle w:val="813"/>
        <w:jc w:val="center"/>
        <w:spacing w:before="200"/>
        <w:rPr>
          <w:rFonts w:hint="eastAsia" w:ascii="宋体" w:hAnsi="宋体" w:eastAsia="宋体" w:cs="宋体"/>
          <w:b/>
          <w:sz w:val="44"/>
          <w:szCs w:val="44"/>
          <w:lang w:val="en-US" w:eastAsia="zh-CN"/>
        </w:rPr>
      </w:pPr>
      <w:r>
        <w:rPr>
          <w:rFonts w:hint="eastAsia" w:ascii="宋体" w:hAnsi="宋体" w:eastAsia="宋体" w:cs="宋体"/>
          <w:b/>
          <w:sz w:val="44"/>
          <w:szCs w:val="44"/>
        </w:rPr>
        <w:t xml:space="preserve">政府</w:t>
      </w:r>
      <w:r>
        <w:rPr>
          <w:rFonts w:hint="eastAsia" w:ascii="宋体" w:hAnsi="宋体" w:eastAsia="宋体" w:cs="宋体"/>
          <w:b/>
          <w:sz w:val="44"/>
          <w:szCs w:val="44"/>
          <w:lang w:val="en-US" w:eastAsia="zh-CN"/>
        </w:rPr>
        <w:t xml:space="preserve">采购合同参考范本</w:t>
      </w:r>
      <w:r/>
    </w:p>
    <w:p>
      <w:pPr>
        <w:rPr>
          <w:rFonts w:hint="eastAsia" w:ascii="宋体" w:hAnsi="宋体" w:eastAsia="宋体" w:cs="宋体"/>
        </w:rPr>
      </w:pPr>
      <w:r>
        <w:rPr>
          <w:rFonts w:hint="eastAsia" w:ascii="宋体" w:hAnsi="宋体" w:eastAsia="宋体" w:cs="宋体"/>
        </w:rPr>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采购单位(全称):</w:t>
      </w:r>
      <w:r>
        <w:rPr>
          <w:rFonts w:hint="eastAsia" w:ascii="宋体" w:hAnsi="宋体" w:eastAsia="宋体" w:cs="宋体"/>
          <w:color w:val="000000"/>
          <w:sz w:val="24"/>
          <w:highlight w:val="none"/>
          <w:u w:val="single"/>
          <w:lang w:val="zh-CN" w:eastAsia="zh-CN"/>
        </w:rPr>
        <w:t xml:space="preserve">宿迁市公安局(简称甲方)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u w:val="single"/>
          <w:lang w:val="zh-CN" w:eastAsia="zh-CN"/>
        </w:rPr>
      </w:pPr>
      <w:r>
        <w:rPr>
          <w:rFonts w:hint="eastAsia" w:ascii="宋体" w:hAnsi="宋体" w:eastAsia="宋体" w:cs="宋体"/>
          <w:color w:val="000000"/>
          <w:sz w:val="24"/>
          <w:highlight w:val="none"/>
          <w:lang w:val="zh-CN" w:eastAsia="zh-CN"/>
        </w:rPr>
        <w:t xml:space="preserve">中标供应商(全称):</w:t>
      </w:r>
      <w:r>
        <w:rPr>
          <w:rFonts w:hint="eastAsia" w:ascii="宋体" w:hAnsi="宋体" w:eastAsia="宋体" w:cs="宋体"/>
          <w:color w:val="000000"/>
          <w:sz w:val="24"/>
          <w:highlight w:val="none"/>
          <w:u w:val="single"/>
          <w:lang w:val="zh-CN" w:eastAsia="zh-CN"/>
        </w:rPr>
        <w:t xml:space="preserve">(简称乙方)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根据《中华人民共和国民法典》、《中华人民共和国政府采购法》等相关法律法规及本项目采购文件的规定，遵循平等、自愿、公平和诚实信用的原则，经宿迁市公安局(以下简称：甲方)和(以下简称：乙方)协商一致，约定以下合同条款，以兹共同遵守、全面履行。</w:t>
      </w:r>
      <w:bookmarkStart w:id="139" w:name="_Toc192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合同组成部分</w:t>
      </w:r>
      <w:bookmarkEnd w:id="13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所有经双方签署确认的文件(包括会议纪要、补充协议、往来信函)、采购文件、要约文件和响应承诺文件、合同附件及成交通知书均为本合同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1.1.1双方在合同执行过程中达成的书面补充和修正文件；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1.1.2本合同；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1.1.3成交通知书；</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1.1.4招标文件；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1.1.5投标文件及其附件；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1.1.6标准、规范及有关技术文件。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1.1.7但如乙方在投标时作为竞争条件而在投标文件及其附件中作出比招标文件及答疑纪要和本合同更有利于甲方的响应，则投标文件及其附件中更有利于甲方的相关条款内容的解释顺序优于招标文件及答疑纪要和本合同，乙方须按这些响应承诺履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1.1.8未经甲方书面同意，乙方不得擅自向第三方转让本合同项下任何权利和义务。</w:t>
      </w:r>
      <w:r/>
    </w:p>
    <w:p>
      <w:pPr>
        <w:ind w:firstLine="480"/>
        <w:jc w:val="left"/>
        <w:spacing w:line="520" w:lineRule="exact"/>
        <w:rPr>
          <w:rFonts w:hint="eastAsia" w:ascii="宋体" w:hAnsi="宋体" w:eastAsia="宋体" w:cs="宋体"/>
          <w:sz w:val="24"/>
          <w:szCs w:val="24"/>
          <w:lang w:val="zh-CN" w:eastAsia="zh-CN"/>
        </w:rPr>
      </w:pPr>
      <w:r/>
      <w:bookmarkStart w:id="140" w:name="_Toc25615"/>
      <w:r>
        <w:rPr>
          <w:rFonts w:hint="eastAsia" w:ascii="宋体" w:hAnsi="宋体" w:eastAsia="宋体" w:cs="宋体"/>
          <w:sz w:val="24"/>
          <w:szCs w:val="24"/>
          <w:lang w:val="zh-CN" w:eastAsia="zh-CN"/>
        </w:rPr>
        <w:t xml:space="preserve">1.2标的</w:t>
      </w:r>
      <w:bookmarkEnd w:id="14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1.2.1标的名称：交管支队2026-2027年度涉案车辆拖移保管服务采购项目;</w:t>
      </w:r>
      <w:r/>
    </w:p>
    <w:p>
      <w:pPr>
        <w:ind w:firstLine="480"/>
        <w:spacing w:line="48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1.2.1标的内容：</w:t>
      </w:r>
      <w:r>
        <w:rPr>
          <w:rFonts w:hint="eastAsia" w:ascii="宋体" w:hAnsi="宋体" w:eastAsia="宋体" w:cs="宋体"/>
          <w:sz w:val="24"/>
          <w:szCs w:val="24"/>
          <w:lang w:val="en-US" w:eastAsia="zh-CN"/>
        </w:rPr>
        <w:t xml:space="preserve">主城区（宿城区、湖滨新区、经开区、苏宿园区辖区内交警各执勤大中队事故及违法车辆）、宿豫区（辖区内交警各执勤大中队事故及违法车辆）以及洋河新区（辖区内交警各执勤大中队事故及违法车辆）内的涉案车辆拖移及保管服务。主城区内的停车场由采购人提供，宿豫区及洋河新区内的停车场由供应商提供。</w:t>
      </w:r>
      <w:r/>
    </w:p>
    <w:p>
      <w:pPr>
        <w:ind w:firstLine="480"/>
        <w:jc w:val="left"/>
        <w:spacing w:line="520" w:lineRule="exact"/>
        <w:rPr>
          <w:rFonts w:hint="eastAsia" w:ascii="宋体" w:hAnsi="宋体" w:eastAsia="宋体" w:cs="宋体"/>
          <w:sz w:val="24"/>
          <w:szCs w:val="24"/>
          <w:lang w:val="zh-CN" w:eastAsia="zh-CN"/>
        </w:rPr>
      </w:pPr>
      <w:r/>
      <w:bookmarkStart w:id="141" w:name="_Toc32298"/>
      <w:r>
        <w:rPr>
          <w:rFonts w:hint="eastAsia" w:ascii="宋体" w:hAnsi="宋体" w:eastAsia="宋体" w:cs="宋体"/>
          <w:sz w:val="24"/>
          <w:szCs w:val="24"/>
          <w:lang w:val="zh-CN" w:eastAsia="zh-CN"/>
        </w:rPr>
        <w:t xml:space="preserve">1.3价款</w:t>
      </w:r>
      <w:bookmarkEnd w:id="14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本合同总价为：</w:t>
      </w:r>
      <w:r/>
    </w:p>
    <w:p>
      <w:pPr>
        <w:ind w:firstLine="480"/>
        <w:jc w:val="left"/>
        <w:spacing w:line="520" w:lineRule="exact"/>
        <w:rPr>
          <w:rFonts w:hint="eastAsia" w:ascii="宋体" w:hAnsi="宋体" w:eastAsia="宋体" w:cs="宋体"/>
          <w:sz w:val="24"/>
          <w:szCs w:val="24"/>
          <w:lang w:val="zh-CN" w:eastAsia="zh-CN"/>
        </w:rPr>
      </w:pPr>
      <w:r/>
      <w:bookmarkStart w:id="142" w:name="_Toc14663"/>
      <w:r>
        <w:rPr>
          <w:rFonts w:hint="eastAsia" w:ascii="宋体" w:hAnsi="宋体" w:eastAsia="宋体" w:cs="宋体"/>
          <w:sz w:val="24"/>
          <w:szCs w:val="24"/>
          <w:lang w:val="zh-CN" w:eastAsia="zh-CN"/>
        </w:rPr>
        <w:t xml:space="preserve">1.4付款方式和发票开具方式</w:t>
      </w:r>
      <w:bookmarkEnd w:id="142"/>
      <w:r/>
      <w:r/>
    </w:p>
    <w:p>
      <w:pPr>
        <w:ind w:firstLine="480"/>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1.4.1付款方式：</w:t>
      </w:r>
      <w:r>
        <w:rPr>
          <w:rFonts w:hint="eastAsia" w:ascii="宋体" w:hAnsi="宋体" w:eastAsia="宋体" w:cs="宋体"/>
          <w:sz w:val="24"/>
          <w:szCs w:val="24"/>
          <w:lang w:val="en-US" w:eastAsia="zh-CN"/>
        </w:rPr>
        <w:t xml:space="preserve">见采购需求。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1.4.2发票开具方式：与合同主体一致的增值税专用发票或普通</w:t>
      </w:r>
      <w:r>
        <w:rPr>
          <w:rFonts w:hint="eastAsia" w:ascii="宋体" w:hAnsi="宋体" w:eastAsia="宋体" w:cs="宋体"/>
          <w:sz w:val="24"/>
          <w:szCs w:val="24"/>
          <w:lang w:val="en-US" w:eastAsia="zh-CN"/>
        </w:rPr>
        <w:t xml:space="preserve">发</w:t>
      </w:r>
      <w:r>
        <w:rPr>
          <w:rFonts w:hint="eastAsia" w:ascii="宋体" w:hAnsi="宋体" w:eastAsia="宋体" w:cs="宋体"/>
          <w:sz w:val="24"/>
          <w:szCs w:val="24"/>
          <w:lang w:val="zh-CN" w:eastAsia="zh-CN"/>
        </w:rPr>
        <w:t xml:space="preserve">票。</w:t>
      </w:r>
      <w:r/>
    </w:p>
    <w:p>
      <w:pPr>
        <w:ind w:firstLine="480"/>
        <w:jc w:val="left"/>
        <w:spacing w:line="520" w:lineRule="exact"/>
        <w:rPr>
          <w:rFonts w:hint="eastAsia" w:ascii="宋体" w:hAnsi="宋体" w:eastAsia="宋体" w:cs="宋体"/>
          <w:sz w:val="24"/>
          <w:szCs w:val="24"/>
          <w:lang w:val="en-US" w:eastAsia="zh-CN"/>
        </w:rPr>
      </w:pPr>
      <w:r/>
      <w:bookmarkStart w:id="143" w:name="_Toc1751"/>
      <w:r>
        <w:rPr>
          <w:rFonts w:hint="eastAsia" w:ascii="宋体" w:hAnsi="宋体" w:eastAsia="宋体" w:cs="宋体"/>
          <w:sz w:val="24"/>
          <w:szCs w:val="24"/>
          <w:lang w:val="zh-CN" w:eastAsia="zh-CN"/>
        </w:rPr>
        <w:t xml:space="preserve">1.5</w:t>
      </w:r>
      <w:bookmarkEnd w:id="143"/>
      <w:r>
        <w:rPr>
          <w:rFonts w:hint="eastAsia" w:ascii="宋体" w:hAnsi="宋体" w:eastAsia="宋体" w:cs="宋体"/>
          <w:sz w:val="24"/>
          <w:szCs w:val="24"/>
          <w:lang w:val="en-US" w:eastAsia="zh-CN"/>
        </w:rPr>
        <w:t xml:space="preserve">服务内容及要求</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乙方应按招标文件规定和投标文件承诺向甲方提供服务。</w:t>
      </w:r>
      <w:r/>
    </w:p>
    <w:p>
      <w:pPr>
        <w:ind w:firstLine="480"/>
        <w:jc w:val="left"/>
        <w:spacing w:line="520" w:lineRule="exact"/>
        <w:rPr>
          <w:rFonts w:hint="eastAsia" w:ascii="宋体" w:hAnsi="宋体" w:eastAsia="宋体" w:cs="宋体"/>
          <w:sz w:val="24"/>
          <w:szCs w:val="24"/>
          <w:lang w:val="zh-CN" w:eastAsia="zh-CN"/>
        </w:rPr>
      </w:pPr>
      <w:r/>
      <w:bookmarkStart w:id="144" w:name="_Toc4060"/>
      <w:r>
        <w:rPr>
          <w:rFonts w:hint="eastAsia" w:ascii="宋体" w:hAnsi="宋体" w:eastAsia="宋体" w:cs="宋体"/>
          <w:sz w:val="24"/>
          <w:szCs w:val="24"/>
          <w:lang w:val="zh-CN" w:eastAsia="zh-CN"/>
        </w:rPr>
        <w:t xml:space="preserve">1.6履行期限、地点、质量要求和方式</w:t>
      </w:r>
      <w:bookmarkEnd w:id="14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1.6.1履行期限：</w:t>
      </w:r>
      <w:r>
        <w:rPr>
          <w:rFonts w:hint="eastAsia" w:ascii="宋体" w:hAnsi="宋体" w:eastAsia="宋体" w:cs="宋体"/>
          <w:sz w:val="24"/>
          <w:szCs w:val="24"/>
          <w:lang w:val="en-US" w:eastAsia="zh-CN"/>
        </w:rPr>
        <w:t xml:space="preserve">1年</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1.6.2履行地点：具体地点由甲方指定</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1.6.</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eastAsia="zh-CN"/>
        </w:rPr>
        <w:t xml:space="preserve">履行方式：</w:t>
      </w:r>
      <w:r>
        <w:rPr>
          <w:rFonts w:hint="eastAsia" w:ascii="宋体" w:hAnsi="宋体" w:eastAsia="宋体" w:cs="宋体"/>
          <w:sz w:val="24"/>
          <w:szCs w:val="24"/>
          <w:lang w:val="en-US" w:eastAsia="zh-CN"/>
        </w:rPr>
        <w:t xml:space="preserve">现场履约</w:t>
      </w:r>
      <w:r/>
    </w:p>
    <w:p>
      <w:pPr>
        <w:ind w:firstLine="480"/>
        <w:jc w:val="left"/>
        <w:spacing w:line="520" w:lineRule="exact"/>
        <w:rPr>
          <w:rFonts w:hint="eastAsia" w:ascii="宋体" w:hAnsi="宋体" w:eastAsia="宋体" w:cs="宋体"/>
          <w:sz w:val="24"/>
          <w:szCs w:val="24"/>
          <w:lang w:val="zh-CN" w:eastAsia="zh-CN"/>
        </w:rPr>
      </w:pPr>
      <w:r/>
      <w:bookmarkStart w:id="145" w:name="_Toc5213"/>
      <w:r>
        <w:rPr>
          <w:rFonts w:hint="eastAsia" w:ascii="宋体" w:hAnsi="宋体" w:eastAsia="宋体" w:cs="宋体"/>
          <w:sz w:val="24"/>
          <w:szCs w:val="24"/>
          <w:lang w:val="zh-CN" w:eastAsia="zh-CN"/>
        </w:rPr>
        <w:t xml:space="preserve">1.7违约责任</w:t>
      </w:r>
      <w:bookmarkEnd w:id="14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1.7.1除不可抗力外，乙方违约赔偿责任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"https://1.7.1.1"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1.7.1.1</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服务交付延误</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无正当理由下未能在本合同约定期限内交付符合约定的产品或服务的，从逾期之日起每日按对应产品或服务总价的千分之三的数额向甲方支付违约金，逾期三十日以上的，甲方有权单方解除合同，乙方除应向甲方退还对应产品或服务的合同金额外，还应额外赔偿因此给甲方造成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"https://1.7.1.2"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1.7.1.2</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服务违约责任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乙方服务期限内须严格遵守服务质量承诺及相关管理规定确保服务质量，对于违反服务质量承诺和服务水平约定造成服务质量下降的，乙方应向甲方承担相应的违约责任。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"https://1.7.1.3"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1.7.1.3</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质量违约责任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1.7.1.3.1过程质量不合格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需针对项目质量管理设置奖惩制度，对有关人员进行奖励或处罚。对在项目过程中发现质量问题及时上报、解决问题过程中表现优秀的人员给予表扬、奖励；对项目质量管理工作中失职、违章的个人，应予以处罚并提供相应的奖惩记录文件备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1.7.1.3.2服务最终验收不合格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交付的产品或服务不能满足甲方书面要求，甲方有权要求乙方整改，并由乙方承担由此产生的费用。乙方在甲方的指定期限内拒绝整改或整改后仍不符合要求的，甲方有权解除合同，乙方除向甲方退还对应产品或服务的合同金额外，还应额外赔偿因此给甲方造成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fldChar w:fldCharType="begin"/>
      </w:r>
      <w:r>
        <w:rPr>
          <w:rFonts w:hint="eastAsia" w:ascii="宋体" w:hAnsi="宋体" w:eastAsia="宋体" w:cs="宋体"/>
          <w:sz w:val="24"/>
          <w:szCs w:val="24"/>
          <w:lang w:val="zh-CN" w:eastAsia="zh-CN"/>
        </w:rPr>
        <w:instrText xml:space="preserve"> HYPERLINK "https://1.7.1.4" </w:instrText>
      </w:r>
      <w:r>
        <w:rPr>
          <w:rFonts w:hint="eastAsia" w:ascii="宋体" w:hAnsi="宋体" w:eastAsia="宋体" w:cs="宋体"/>
          <w:sz w:val="24"/>
          <w:szCs w:val="24"/>
          <w:lang w:val="zh-CN" w:eastAsia="zh-CN"/>
        </w:rPr>
        <w:fldChar w:fldCharType="separate"/>
      </w:r>
      <w:r>
        <w:rPr>
          <w:rFonts w:hint="eastAsia" w:ascii="宋体" w:hAnsi="宋体" w:eastAsia="宋体" w:cs="宋体"/>
          <w:sz w:val="24"/>
          <w:szCs w:val="24"/>
          <w:lang w:val="zh-CN" w:eastAsia="zh-CN"/>
        </w:rPr>
        <w:t xml:space="preserve">1.7.1.4</w:t>
      </w:r>
      <w:r>
        <w:rPr>
          <w:rFonts w:hint="eastAsia" w:ascii="宋体" w:hAnsi="宋体" w:eastAsia="宋体" w:cs="宋体"/>
          <w:sz w:val="24"/>
          <w:szCs w:val="24"/>
          <w:lang w:val="zh-CN" w:eastAsia="zh-CN"/>
        </w:rPr>
        <w:fldChar w:fldCharType="end"/>
      </w:r>
      <w:r>
        <w:rPr>
          <w:rFonts w:hint="eastAsia" w:ascii="宋体" w:hAnsi="宋体" w:eastAsia="宋体" w:cs="宋体"/>
          <w:sz w:val="24"/>
          <w:szCs w:val="24"/>
          <w:lang w:val="zh-CN" w:eastAsia="zh-CN"/>
        </w:rPr>
        <w:t xml:space="preserve">其他违约责任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(1)乙方在本合同中的声明或保证在被证实存在虚假或未兑现，严重影响其履约能力；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(2)乙方出现本合同约定的导致合同终止情形的；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(3)乙方被依法吊销营业执照、责令停业、清算或破产；</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(4)乙方未按时完成本合同项下工作，逾期超过30日的；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(5)乙方发生累计两次或以上违约行为；</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(6)乙方履行义务不符合约定，经甲方提出后合理期限内仍未改正；</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(7)未经甲方书面同意，乙方将本合同项下其应履行的权利或义务部分或全部转让，或将本合同项下的服务分包的；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(8)乙方将本合同项下的服务转包的；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(9)第三方指控并经有权机关认定甲方使用/接受乙方提供的产品/服务侵犯了该方的知识产权或其他权利，造成甲方损失的。</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乙方违反以上约定，应当按合同总价的5%向甲方支付违约金，且赔偿甲方因此遭受的直接经济损失。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1.7.2除不可抗力外，甲方违约赔偿责任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未按照本合同约定，及时足额向乙方支付相应的合同金额，则乙方有权向甲方发出书面催告，如甲方在收到书面催告通知后的三十日内仍未能支付的，则甲方除应支付应付未付的合同金额外，还应自收到书面催告后的第【三十一】日起每日按照应付未付金额千分之三数额向乙方支付违约金。但因财政支付管理流程导致的支付延期除外。</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甲方支付的违约金及赔偿金总额不超过本合同金额的8%。</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1.7.3如果出现政府采购监督管理部门在处理投诉事项期间，书面通知甲方暂停采购活动的情形，或者询问或质疑事项可能影响中标结果的，导致甲方中止履行合同的情形，均不视为甲方违约。</w:t>
      </w:r>
      <w:r/>
    </w:p>
    <w:p>
      <w:pPr>
        <w:ind w:firstLine="480"/>
        <w:jc w:val="left"/>
        <w:spacing w:line="520" w:lineRule="exact"/>
        <w:rPr>
          <w:rFonts w:hint="eastAsia" w:ascii="宋体" w:hAnsi="宋体" w:eastAsia="宋体" w:cs="宋体"/>
          <w:sz w:val="24"/>
          <w:szCs w:val="24"/>
          <w:lang w:val="zh-CN" w:eastAsia="zh-CN"/>
        </w:rPr>
      </w:pPr>
      <w:r/>
      <w:bookmarkStart w:id="146" w:name="_Toc2586"/>
      <w:r>
        <w:rPr>
          <w:rFonts w:hint="eastAsia" w:ascii="宋体" w:hAnsi="宋体" w:eastAsia="宋体" w:cs="宋体"/>
          <w:sz w:val="24"/>
          <w:szCs w:val="24"/>
          <w:lang w:val="zh-CN" w:eastAsia="zh-CN"/>
        </w:rPr>
        <w:t xml:space="preserve">1.8合同争议的解决</w:t>
      </w:r>
      <w:bookmarkEnd w:id="14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本合同履行过程中发生的任何争议，双方当事人均可通过和解或者调解解决；不愿和解、调解或者和解、调解不成的，可以选择下列第1种</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方式(即1.8.1)解决：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1.8.1将争议提交宿迁仲裁委员会依申请仲裁时其现行有效的仲裁规则裁决；</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1.8.2向甲方所在地人民法院起诉。</w:t>
      </w:r>
      <w:r/>
    </w:p>
    <w:p>
      <w:pPr>
        <w:ind w:firstLine="480"/>
        <w:jc w:val="left"/>
        <w:spacing w:line="520" w:lineRule="exact"/>
        <w:rPr>
          <w:rFonts w:hint="eastAsia" w:ascii="宋体" w:hAnsi="宋体" w:eastAsia="宋体" w:cs="宋体"/>
          <w:sz w:val="24"/>
          <w:szCs w:val="24"/>
          <w:lang w:val="zh-CN" w:eastAsia="zh-CN"/>
        </w:rPr>
      </w:pPr>
      <w:r/>
      <w:bookmarkStart w:id="147" w:name="_Toc14674"/>
      <w:r>
        <w:rPr>
          <w:rFonts w:hint="eastAsia" w:ascii="宋体" w:hAnsi="宋体" w:eastAsia="宋体" w:cs="宋体"/>
          <w:sz w:val="24"/>
          <w:szCs w:val="24"/>
          <w:lang w:val="zh-CN" w:eastAsia="zh-CN"/>
        </w:rPr>
        <w:t xml:space="preserve">1.9合同生效</w:t>
      </w:r>
      <w:bookmarkEnd w:id="14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本合同自双方当事人盖章或者签字时生效。</w:t>
      </w:r>
      <w:r/>
    </w:p>
    <w:p>
      <w:pPr>
        <w:ind w:firstLine="480"/>
        <w:jc w:val="left"/>
        <w:spacing w:line="520" w:lineRule="exact"/>
        <w:rPr>
          <w:rFonts w:hint="eastAsia" w:ascii="宋体" w:hAnsi="宋体" w:eastAsia="宋体" w:cs="宋体"/>
          <w:sz w:val="24"/>
          <w:szCs w:val="24"/>
          <w:lang w:val="zh-CN" w:eastAsia="zh-CN"/>
        </w:rPr>
      </w:pPr>
      <w:r/>
      <w:bookmarkStart w:id="148" w:name="_Toc27602"/>
      <w:r>
        <w:rPr>
          <w:rFonts w:hint="eastAsia" w:ascii="宋体" w:hAnsi="宋体" w:eastAsia="宋体" w:cs="宋体"/>
          <w:sz w:val="24"/>
          <w:szCs w:val="24"/>
          <w:lang w:val="zh-CN" w:eastAsia="zh-CN"/>
        </w:rPr>
        <w:t xml:space="preserve">2.0项目实施要求</w:t>
      </w:r>
      <w:bookmarkEnd w:id="14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详见采购文件。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2.0.11本合同一切未尽事宜，按合同法有关规定执行，无相关规定的，由甲乙双方协商解决。</w:t>
      </w:r>
      <w:r/>
    </w:p>
    <w:p>
      <w:pPr>
        <w:ind w:firstLine="480"/>
        <w:jc w:val="center"/>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第二部分合同一般条款</w:t>
      </w:r>
      <w:r/>
    </w:p>
    <w:p>
      <w:pPr>
        <w:ind w:firstLine="480"/>
        <w:jc w:val="left"/>
        <w:spacing w:line="520" w:lineRule="exact"/>
        <w:rPr>
          <w:rFonts w:hint="eastAsia" w:ascii="宋体" w:hAnsi="宋体" w:eastAsia="宋体" w:cs="宋体"/>
          <w:sz w:val="24"/>
          <w:szCs w:val="24"/>
          <w:lang w:val="zh-CN" w:eastAsia="zh-CN"/>
        </w:rPr>
      </w:pPr>
      <w:r/>
      <w:bookmarkStart w:id="149" w:name="_Toc32652"/>
      <w:r>
        <w:rPr>
          <w:rFonts w:hint="eastAsia" w:ascii="宋体" w:hAnsi="宋体" w:eastAsia="宋体" w:cs="宋体"/>
          <w:sz w:val="24"/>
          <w:szCs w:val="24"/>
          <w:lang w:val="zh-CN" w:eastAsia="zh-CN"/>
        </w:rPr>
        <w:t xml:space="preserve">2.1定义</w:t>
      </w:r>
      <w:bookmarkEnd w:id="14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本合同中的下列词语应按以下内容进行解释：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2.1.1“合同”系指采购人和中标供应商签订的载明双方当事人所达成的协议，并包括所有的附件、附录和构成合同的其他文件。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2.1.2“合同价”系指根据合同约定，中标供应商在完全履行合同义务后，采购人应支付给中标供应商的价格。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2.1.3“服务”系指中标供应商根据合同约定应向采购人履行的除货物和工程以外的其他政府采购对象，包括采购人自身需要的服务和向社会公众提供的公共服务。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2.1.4“甲方”系指与中标供应商签署合同的采购人；采购人委托采购代理机构代表其与乙方签订合同的，采购人的授权委托书作为合同附件。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2.1.6“现场”系指合同约定提供服务的地点。</w:t>
      </w:r>
      <w:r/>
    </w:p>
    <w:p>
      <w:pPr>
        <w:ind w:firstLine="480"/>
        <w:jc w:val="left"/>
        <w:spacing w:line="520" w:lineRule="exact"/>
        <w:rPr>
          <w:rFonts w:hint="eastAsia" w:ascii="宋体" w:hAnsi="宋体" w:eastAsia="宋体" w:cs="宋体"/>
          <w:sz w:val="24"/>
          <w:szCs w:val="24"/>
          <w:lang w:val="zh-CN" w:eastAsia="zh-CN"/>
        </w:rPr>
      </w:pPr>
      <w:r/>
      <w:bookmarkStart w:id="150" w:name="_Toc16287"/>
      <w:r>
        <w:rPr>
          <w:rFonts w:hint="eastAsia" w:ascii="宋体" w:hAnsi="宋体" w:eastAsia="宋体" w:cs="宋体"/>
          <w:sz w:val="24"/>
          <w:szCs w:val="24"/>
          <w:lang w:val="zh-CN" w:eastAsia="zh-CN"/>
        </w:rPr>
        <w:t xml:space="preserve">2.2技术规范</w:t>
      </w:r>
      <w:bookmarkEnd w:id="15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jc w:val="left"/>
        <w:spacing w:line="520" w:lineRule="exact"/>
        <w:rPr>
          <w:rFonts w:hint="eastAsia" w:ascii="宋体" w:hAnsi="宋体" w:eastAsia="宋体" w:cs="宋体"/>
          <w:sz w:val="24"/>
          <w:szCs w:val="24"/>
          <w:lang w:val="zh-CN" w:eastAsia="zh-CN"/>
        </w:rPr>
      </w:pPr>
      <w:r/>
      <w:bookmarkStart w:id="151" w:name="_Toc22228"/>
      <w:r>
        <w:rPr>
          <w:rFonts w:hint="eastAsia" w:ascii="宋体" w:hAnsi="宋体" w:eastAsia="宋体" w:cs="宋体"/>
          <w:sz w:val="24"/>
          <w:szCs w:val="24"/>
          <w:lang w:val="zh-CN" w:eastAsia="zh-CN"/>
        </w:rPr>
        <w:t xml:space="preserve">2.3知识产权</w:t>
      </w:r>
      <w:bookmarkEnd w:id="15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2.3.1乙方应保证其提供的服务不受任何第三方提出的侵犯其著作权、商标权、专利权等知识产权方面的起诉；如果任何第三方提出侵权指控，那么乙方须与该第三方交涉并承担由此发生的一切责任、费用和赔偿；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2.3.2合同涉及技术成果的归属的，详见招标文件采购需求；涉及收益的分成办法的，由甲乙双方协商决定。</w:t>
      </w:r>
      <w:r/>
    </w:p>
    <w:p>
      <w:pPr>
        <w:ind w:firstLine="480"/>
        <w:jc w:val="left"/>
        <w:spacing w:line="520" w:lineRule="exact"/>
        <w:rPr>
          <w:rFonts w:hint="eastAsia" w:ascii="宋体" w:hAnsi="宋体" w:eastAsia="宋体" w:cs="宋体"/>
          <w:sz w:val="24"/>
          <w:szCs w:val="24"/>
          <w:lang w:val="zh-CN" w:eastAsia="zh-CN"/>
        </w:rPr>
      </w:pPr>
      <w:r/>
      <w:bookmarkStart w:id="152" w:name="_Toc28505"/>
      <w:r>
        <w:rPr>
          <w:rFonts w:hint="eastAsia" w:ascii="宋体" w:hAnsi="宋体" w:eastAsia="宋体" w:cs="宋体"/>
          <w:sz w:val="24"/>
          <w:szCs w:val="24"/>
          <w:lang w:val="zh-CN" w:eastAsia="zh-CN"/>
        </w:rPr>
        <w:t xml:space="preserve">2.4履约检查和问题反馈</w:t>
      </w:r>
      <w:bookmarkEnd w:id="15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2.4.2合同履行期间，甲方有权将履行过程中出现的问题反馈给乙方，双方当事人应以书面形式约定需要完善和改进的内容。</w:t>
      </w:r>
      <w:r/>
    </w:p>
    <w:p>
      <w:pPr>
        <w:ind w:firstLine="480"/>
        <w:jc w:val="left"/>
        <w:spacing w:line="520" w:lineRule="exact"/>
        <w:rPr>
          <w:rFonts w:hint="eastAsia" w:ascii="宋体" w:hAnsi="宋体" w:eastAsia="宋体" w:cs="宋体"/>
          <w:sz w:val="24"/>
          <w:szCs w:val="24"/>
          <w:lang w:val="zh-CN" w:eastAsia="zh-CN"/>
        </w:rPr>
      </w:pPr>
      <w:r/>
      <w:bookmarkStart w:id="153" w:name="_Toc7693"/>
      <w:r>
        <w:rPr>
          <w:rFonts w:hint="eastAsia" w:ascii="宋体" w:hAnsi="宋体" w:eastAsia="宋体" w:cs="宋体"/>
          <w:sz w:val="24"/>
          <w:szCs w:val="24"/>
          <w:lang w:val="zh-CN" w:eastAsia="zh-CN"/>
        </w:rPr>
        <w:t xml:space="preserve">2.5技术资料和保密义务</w:t>
      </w:r>
      <w:bookmarkEnd w:id="15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2.5.1乙方有权依据合同约定和项目需要，向甲方了解有关情况，调阅有关资料等，甲方应予积极配合；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2.5.2乙方有义务妥善保管和保护由甲方提供的前款信息和资料等；</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2.5.3除非依照法律规定或者对方当事人的书面同意，任何一方均应</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20" w:lineRule="exact"/>
        <w:rPr>
          <w:rFonts w:hint="eastAsia" w:ascii="宋体" w:hAnsi="宋体" w:eastAsia="宋体" w:cs="宋体"/>
          <w:sz w:val="24"/>
          <w:szCs w:val="24"/>
          <w:lang w:val="zh-CN" w:eastAsia="zh-CN"/>
        </w:rPr>
      </w:pPr>
      <w:r/>
      <w:bookmarkStart w:id="154" w:name="_Toc12572"/>
      <w:r>
        <w:rPr>
          <w:rFonts w:hint="eastAsia" w:ascii="宋体" w:hAnsi="宋体" w:eastAsia="宋体" w:cs="宋体"/>
          <w:sz w:val="24"/>
          <w:szCs w:val="24"/>
          <w:lang w:val="zh-CN" w:eastAsia="zh-CN"/>
        </w:rPr>
        <w:t xml:space="preserve">2.6质量保证</w:t>
      </w:r>
      <w:bookmarkEnd w:id="15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2.6.1乙方应建立和完善履行合同的内部质量保证体系，并提供相关内部规章制度给甲方，以便甲方进行监督检查；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2.6.2乙方应保证履行合同的人员数量和素质、软件和硬件设备的配置、场地、环境和设施等满足全面履行合同的要求，并应接受甲方的监督检查；</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2.6.3乙方提供的服务有国家标准的应符合国家标准。无国家标准的应符合行业标准或企业标准，并满足采购文件要求，实现响应文件承诺条款。</w:t>
      </w:r>
      <w:r/>
    </w:p>
    <w:p>
      <w:pPr>
        <w:ind w:firstLine="480"/>
        <w:jc w:val="left"/>
        <w:spacing w:line="520" w:lineRule="exact"/>
        <w:rPr>
          <w:rFonts w:hint="eastAsia" w:ascii="宋体" w:hAnsi="宋体" w:eastAsia="宋体" w:cs="宋体"/>
          <w:sz w:val="24"/>
          <w:szCs w:val="24"/>
          <w:lang w:val="zh-CN" w:eastAsia="zh-CN"/>
        </w:rPr>
      </w:pPr>
      <w:r/>
      <w:bookmarkStart w:id="155" w:name="_Toc17050"/>
      <w:r>
        <w:rPr>
          <w:rFonts w:hint="eastAsia" w:ascii="宋体" w:hAnsi="宋体" w:eastAsia="宋体" w:cs="宋体"/>
          <w:sz w:val="24"/>
          <w:szCs w:val="24"/>
          <w:lang w:val="zh-CN" w:eastAsia="zh-CN"/>
        </w:rPr>
        <w:t xml:space="preserve">2.7延迟履行</w:t>
      </w:r>
      <w:bookmarkEnd w:id="155"/>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jc w:val="left"/>
        <w:spacing w:line="520" w:lineRule="exact"/>
        <w:rPr>
          <w:rFonts w:hint="eastAsia" w:ascii="宋体" w:hAnsi="宋体" w:eastAsia="宋体" w:cs="宋体"/>
          <w:sz w:val="24"/>
          <w:szCs w:val="24"/>
          <w:lang w:val="zh-CN" w:eastAsia="zh-CN"/>
        </w:rPr>
      </w:pPr>
      <w:r/>
      <w:bookmarkStart w:id="156" w:name="_Toc30095"/>
      <w:r>
        <w:rPr>
          <w:rFonts w:hint="eastAsia" w:ascii="宋体" w:hAnsi="宋体" w:eastAsia="宋体" w:cs="宋体"/>
          <w:sz w:val="24"/>
          <w:szCs w:val="24"/>
          <w:lang w:val="zh-CN" w:eastAsia="zh-CN"/>
        </w:rPr>
        <w:t xml:space="preserve">2.8合同变更</w:t>
      </w:r>
      <w:bookmarkEnd w:id="15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2.8.1双方当事人协商一致，可以签订书面补充合同的形式变更合同，但不得违背采购文件确定的事项，且如果系追加与合同标的相同的服务的，那么所有补充合同的采购金额不得超过原合同价的10%;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2.8.2合同继续履行将损害国家利益和社会公共利益的，双方当事人应当以书面形式变更合同。有过错的一方应当承担赔偿责任，双方当事人都有过错的，各自承担相应的责任。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57" w:name="_Toc4116"/>
      <w:r>
        <w:rPr>
          <w:rFonts w:hint="eastAsia" w:ascii="宋体" w:hAnsi="宋体" w:eastAsia="宋体" w:cs="宋体"/>
          <w:sz w:val="24"/>
          <w:szCs w:val="24"/>
          <w:lang w:val="zh-CN" w:eastAsia="zh-CN"/>
        </w:rPr>
        <w:t xml:space="preserve">2.9合同转让和分包</w:t>
      </w:r>
      <w:bookmarkEnd w:id="15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jc w:val="left"/>
        <w:spacing w:line="520" w:lineRule="exact"/>
        <w:rPr>
          <w:rFonts w:hint="eastAsia" w:ascii="宋体" w:hAnsi="宋体" w:eastAsia="宋体" w:cs="宋体"/>
          <w:sz w:val="24"/>
          <w:szCs w:val="24"/>
          <w:lang w:val="zh-CN" w:eastAsia="zh-CN"/>
        </w:rPr>
      </w:pPr>
      <w:r/>
      <w:bookmarkStart w:id="158" w:name="_Toc10570"/>
      <w:r>
        <w:rPr>
          <w:rFonts w:hint="eastAsia" w:ascii="宋体" w:hAnsi="宋体" w:eastAsia="宋体" w:cs="宋体"/>
          <w:sz w:val="24"/>
          <w:szCs w:val="24"/>
          <w:lang w:val="zh-CN" w:eastAsia="zh-CN"/>
        </w:rPr>
        <w:t xml:space="preserve">2.10不可抗力</w:t>
      </w:r>
      <w:bookmarkEnd w:id="158"/>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2.10.1不可抗力指任何一方无法预见、控制、且经合理努力仍无法避免或克服的、导致其无法履行合同项下的义务的情形，包括但不限于：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2.10.2不可抗力事件的认定和评估</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受到不可抗力事件影响的一方应在不可抗力事件发生后七日内书面通知另一方，详细描述不可抗力的发生情况、必要的证明文件和可能导致的后果，并及时采取措施减少损失范围。甲方组织双方协商，评估和认定不可抗力。</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2.10.3不可抗力事件的处理</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应协商决定继续履行本合同的条件或者终止本合同。如果自不可抗力发生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宋体" w:hAnsi="宋体" w:eastAsia="宋体" w:cs="宋体"/>
          <w:sz w:val="24"/>
          <w:szCs w:val="24"/>
          <w:lang w:val="zh-CN" w:eastAsia="zh-CN"/>
        </w:rPr>
      </w:pPr>
      <w:r/>
      <w:bookmarkStart w:id="159" w:name="_Toc23178"/>
      <w:r>
        <w:rPr>
          <w:rFonts w:hint="eastAsia" w:ascii="宋体" w:hAnsi="宋体" w:eastAsia="宋体" w:cs="宋体"/>
          <w:sz w:val="24"/>
          <w:szCs w:val="24"/>
          <w:lang w:val="zh-CN" w:eastAsia="zh-CN"/>
        </w:rPr>
        <w:t xml:space="preserve">2.11税费</w:t>
      </w:r>
      <w:bookmarkEnd w:id="159"/>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与合同有关的一切税费，均按照中华人民共和国法律的相关规定缴纳。</w:t>
      </w:r>
      <w:r/>
    </w:p>
    <w:p>
      <w:pPr>
        <w:ind w:firstLine="480"/>
        <w:jc w:val="left"/>
        <w:spacing w:line="520" w:lineRule="exact"/>
        <w:rPr>
          <w:rFonts w:hint="eastAsia" w:ascii="宋体" w:hAnsi="宋体" w:eastAsia="宋体" w:cs="宋体"/>
          <w:sz w:val="24"/>
          <w:szCs w:val="24"/>
          <w:lang w:val="zh-CN" w:eastAsia="zh-CN"/>
        </w:rPr>
      </w:pPr>
      <w:r/>
      <w:bookmarkStart w:id="160" w:name="_Toc27280"/>
      <w:r>
        <w:rPr>
          <w:rFonts w:hint="eastAsia" w:ascii="宋体" w:hAnsi="宋体" w:eastAsia="宋体" w:cs="宋体"/>
          <w:sz w:val="24"/>
          <w:szCs w:val="24"/>
          <w:lang w:val="zh-CN" w:eastAsia="zh-CN"/>
        </w:rPr>
        <w:t xml:space="preserve">2.12乙方破产</w:t>
      </w:r>
      <w:bookmarkEnd w:id="160"/>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jc w:val="left"/>
        <w:spacing w:line="520" w:lineRule="exact"/>
        <w:rPr>
          <w:rFonts w:hint="eastAsia" w:ascii="宋体" w:hAnsi="宋体" w:eastAsia="宋体" w:cs="宋体"/>
          <w:sz w:val="24"/>
          <w:szCs w:val="24"/>
          <w:lang w:val="zh-CN" w:eastAsia="zh-CN"/>
        </w:rPr>
      </w:pPr>
      <w:r/>
      <w:bookmarkStart w:id="161" w:name="_Toc16352"/>
      <w:r>
        <w:rPr>
          <w:rFonts w:hint="eastAsia" w:ascii="宋体" w:hAnsi="宋体" w:eastAsia="宋体" w:cs="宋体"/>
          <w:sz w:val="24"/>
          <w:szCs w:val="24"/>
          <w:lang w:val="zh-CN" w:eastAsia="zh-CN"/>
        </w:rPr>
        <w:t xml:space="preserve">2.13合同中止、终止</w:t>
      </w:r>
      <w:bookmarkEnd w:id="161"/>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2.13.1双方当事人不得擅自中止或者终止合同；</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宋体" w:hAnsi="宋体" w:eastAsia="宋体" w:cs="宋体"/>
          <w:sz w:val="24"/>
          <w:szCs w:val="24"/>
          <w:lang w:val="zh-CN" w:eastAsia="zh-CN"/>
        </w:rPr>
      </w:pPr>
      <w:r/>
      <w:bookmarkStart w:id="162" w:name="_Toc7607"/>
      <w:r>
        <w:rPr>
          <w:rFonts w:hint="eastAsia" w:ascii="宋体" w:hAnsi="宋体" w:eastAsia="宋体" w:cs="宋体"/>
          <w:sz w:val="24"/>
          <w:szCs w:val="24"/>
          <w:lang w:val="zh-CN" w:eastAsia="zh-CN"/>
        </w:rPr>
        <w:t xml:space="preserve">2.14检验和验收</w:t>
      </w:r>
      <w:bookmarkEnd w:id="162"/>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2.14.1乙方应保证其提供的服务均为按国家规定的合格正规服务。</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2.14.2乙方应保证所提供服务涉及到的知识产权是合法取得，并享有完整的知识产权，不会因为甲方的使用而被责令停止使用、追偿或要求赔偿损失，如出现上述情况的，乙方应承担一切经济和法律责任。</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2.14.3验收标准：符合根据中华人民共和国政府颁布的相关国家标准和行业标准的规定；符合招标文件、乙方的投标文件、双方签订的合同文件及其附件。</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2.14.4合同期满或</w:t>
      </w:r>
      <w:r>
        <w:rPr>
          <w:rFonts w:hint="eastAsia" w:ascii="宋体" w:hAnsi="宋体" w:eastAsia="宋体" w:cs="宋体"/>
          <w:sz w:val="24"/>
          <w:szCs w:val="24"/>
          <w:lang w:val="zh-CN" w:eastAsia="zh-CN"/>
        </w:rPr>
        <w:t xml:space="preserve">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本项目经甲方每次验收合格的，由甲方出具验收合格证明，作为付款凭证。甲方所有验收意见将以书面形式作出并加盖甲方公章，因此除非甲方书面明示通过验收，否则任何其他行为(包括但不限于甲方对单个、多个模块或整个系统接收、发布、上线、使用、测试、付款等行为)均不代表甲方已验收合格。</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2.14.5本项目任一项验收不合格的，乙方应在甲方限定的期限内完成整改，因整改而导致的费用和损失由乙方自行承担，若因此导致项目逾期交付的，乙方应承担逾期违约责任。乙方未按甲方要求进行整改或经两次整改仍不合格的，视为乙方违约，甲方有权解除本合同，给甲方造成损失的，乙方应赔偿一切直接、间接损失。</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宋体" w:hAnsi="宋体" w:eastAsia="宋体" w:cs="宋体"/>
          <w:sz w:val="24"/>
          <w:szCs w:val="24"/>
          <w:lang w:val="zh-CN" w:eastAsia="zh-CN"/>
        </w:rPr>
      </w:pPr>
      <w:r/>
      <w:bookmarkStart w:id="163" w:name="_Toc24843"/>
      <w:r>
        <w:rPr>
          <w:rFonts w:hint="eastAsia" w:ascii="宋体" w:hAnsi="宋体" w:eastAsia="宋体" w:cs="宋体"/>
          <w:sz w:val="24"/>
          <w:szCs w:val="24"/>
          <w:lang w:val="zh-CN" w:eastAsia="zh-CN"/>
        </w:rPr>
        <w:t xml:space="preserve">2.15通知和送达</w:t>
      </w:r>
      <w:bookmarkEnd w:id="163"/>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2.15.1任何一方因履行合同而以合同尾部所列明的方式发出的所有通知、文件、材料，均视为已向对方当事人送达；任何一方变更上述送达方式或者地址的，应于5个工作日内书面通知对方当事人，在对方当事人收到有关变更通知之前，变更前的约定送达方式或者地址仍视为有效。</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0"/>
        <w:jc w:val="left"/>
        <w:spacing w:line="520" w:lineRule="exact"/>
        <w:rPr>
          <w:rFonts w:hint="eastAsia" w:ascii="宋体" w:hAnsi="宋体" w:eastAsia="宋体" w:cs="宋体"/>
          <w:sz w:val="24"/>
          <w:szCs w:val="24"/>
          <w:lang w:val="zh-CN" w:eastAsia="zh-CN"/>
        </w:rPr>
      </w:pPr>
      <w:r/>
      <w:bookmarkStart w:id="164" w:name="_Toc24053"/>
      <w:r>
        <w:rPr>
          <w:rFonts w:hint="eastAsia" w:ascii="宋体" w:hAnsi="宋体" w:eastAsia="宋体" w:cs="宋体"/>
          <w:sz w:val="24"/>
          <w:szCs w:val="24"/>
          <w:lang w:val="zh-CN" w:eastAsia="zh-CN"/>
        </w:rPr>
        <w:t xml:space="preserve">2.16合同使用的文字和适用的法律</w:t>
      </w:r>
      <w:bookmarkEnd w:id="164"/>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2.16.1合同使用汉语书就、变更和解释；</w:t>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2.16.2合同适用中华人民共和国法律。</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bookmarkStart w:id="165" w:name="_Toc14902"/>
      <w:r>
        <w:rPr>
          <w:rFonts w:hint="eastAsia" w:ascii="宋体" w:hAnsi="宋体" w:eastAsia="宋体" w:cs="宋体"/>
          <w:color w:val="000000"/>
          <w:sz w:val="24"/>
          <w:highlight w:val="none"/>
          <w:lang w:val="zh-CN" w:eastAsia="zh-CN"/>
        </w:rPr>
        <w:t xml:space="preserve">2.17履约保证金</w:t>
      </w:r>
      <w:bookmarkEnd w:id="165"/>
      <w:r/>
      <w:r/>
    </w:p>
    <w:p>
      <w:pPr>
        <w:ind w:firstLine="480"/>
        <w:spacing w:line="480" w:lineRule="exact"/>
        <w:rPr>
          <w:rFonts w:hint="eastAsia" w:ascii="宋体" w:hAnsi="宋体" w:eastAsia="宋体" w:cs="宋体"/>
          <w:sz w:val="24"/>
          <w:lang w:val="zh-CN"/>
        </w:rPr>
      </w:pPr>
      <w:r/>
      <w:bookmarkStart w:id="166" w:name="_Toc30057"/>
      <w:r>
        <w:rPr>
          <w:rFonts w:hint="eastAsia" w:ascii="宋体" w:hAnsi="宋体" w:eastAsia="宋体" w:cs="宋体"/>
          <w:sz w:val="24"/>
          <w:lang w:val="zh-CN"/>
        </w:rPr>
        <w:t xml:space="preserve">按照以下第（</w:t>
      </w:r>
      <w:r>
        <w:rPr>
          <w:rFonts w:hint="eastAsia" w:ascii="宋体" w:hAnsi="宋体" w:eastAsia="宋体" w:cs="宋体"/>
          <w:sz w:val="24"/>
          <w:lang w:val="en-US" w:eastAsia="zh-CN"/>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lang w:val="en-US" w:eastAsia="zh-CN"/>
        </w:rPr>
        <w:t xml:space="preserve">5</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支持和鼓励投标人使用江苏政府采购电子履约保函（保险）代替缴纳履约保证金，投标人如使用江苏政府采购电子履约保函（保险）的，可按采购合同总价的</w:t>
      </w:r>
      <w:r>
        <w:rPr>
          <w:rFonts w:hint="eastAsia" w:ascii="宋体" w:hAnsi="宋体" w:eastAsia="宋体" w:cs="宋体"/>
          <w:sz w:val="24"/>
          <w:lang w:val="en-US" w:eastAsia="zh-CN"/>
        </w:rPr>
        <w:t xml:space="preserve">3</w:t>
      </w:r>
      <w:r>
        <w:rPr>
          <w:rFonts w:hint="eastAsia" w:ascii="宋体" w:hAnsi="宋体" w:eastAsia="宋体" w:cs="宋体"/>
          <w:sz w:val="24"/>
        </w:rPr>
        <w:t xml:space="preserve">%提交。办理流程、偿付等内容见江苏政府采购网“保险保函”模块。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采购人收到投标人退付申请后5个工作日内退还。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keepLines w:val="0"/>
        <w:keepNext w:val="0"/>
        <w:pageBreakBefore w:val="0"/>
        <w:spacing w:line="440" w:lineRule="exact"/>
        <w:widowControl w:val="off"/>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2.18保密条款</w:t>
      </w:r>
      <w:bookmarkEnd w:id="166"/>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甲乙双方对在本合同签订、履行过程中知悉的对方资料和信息，除另一方做出相</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eastAsia="zh-CN"/>
        </w:rPr>
        <w:t xml:space="preserve">的书面说明外，未经另一方书面同意不得向任何第三方披露。任何一方因违反保密义务而给另一方造成损失的，应承担相应的赔偿责任。如乙方违反保密义务，甲方有权视情节轻重，解除本合同。无论本合同是否变更、解除或终止，合同的保密条款不受其限制而继续有效，双方都应继续承担保密条款约定的保密义务。双方承担保密义务的期限为永久。</w:t>
      </w:r>
      <w:r/>
    </w:p>
    <w:p>
      <w:pPr>
        <w:ind w:firstLine="480"/>
        <w:jc w:val="left"/>
        <w:spacing w:line="520" w:lineRule="exact"/>
        <w:rPr>
          <w:rFonts w:hint="eastAsia" w:ascii="宋体" w:hAnsi="宋体" w:eastAsia="宋体" w:cs="宋体"/>
          <w:sz w:val="24"/>
          <w:szCs w:val="24"/>
          <w:lang w:val="zh-CN" w:eastAsia="zh-CN"/>
        </w:rPr>
      </w:pPr>
      <w:r/>
      <w:bookmarkStart w:id="167" w:name="_Toc14618"/>
      <w:r>
        <w:rPr>
          <w:rFonts w:hint="eastAsia" w:ascii="宋体" w:hAnsi="宋体" w:eastAsia="宋体" w:cs="宋体"/>
          <w:sz w:val="24"/>
          <w:szCs w:val="24"/>
          <w:lang w:val="zh-CN" w:eastAsia="zh-CN"/>
        </w:rPr>
        <w:t xml:space="preserve">2.19合同份数</w:t>
      </w:r>
      <w:bookmarkEnd w:id="167"/>
      <w:r/>
      <w:r/>
    </w:p>
    <w:p>
      <w:pPr>
        <w:ind w:firstLine="480"/>
        <w:jc w:val="left"/>
        <w:spacing w:line="520" w:lineRule="exact"/>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本合同一式</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份，以中文书写，甲方、乙方各执二份每份均具有同等法律效力。</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274"/>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173"/>
        <w:spacing w:before="94" w:after="94" w:line="480" w:lineRule="auto"/>
        <w:rPr>
          <w:rFonts w:hint="eastAsia" w:ascii="宋体" w:hAnsi="宋体" w:eastAsia="宋体" w:cs="宋体"/>
          <w:bCs/>
          <w:sz w:val="24"/>
          <w:szCs w:val="24"/>
        </w:rPr>
      </w:pPr>
      <w:r>
        <w:rPr>
          <w:rFonts w:hint="eastAsia" w:ascii="宋体" w:hAnsi="宋体" w:eastAsia="宋体" w:cs="宋体"/>
          <w:sz w:val="24"/>
          <w:szCs w:val="24"/>
        </w:rPr>
        <w:t xml:space="preserve">年   月   日                           年   月   日</w:t>
      </w:r>
      <w:bookmarkEnd w:id="136"/>
      <w:r/>
      <w:bookmarkEnd w:id="137"/>
      <w:r/>
      <w:bookmarkEnd w:id="138"/>
      <w:r/>
      <w:r/>
    </w:p>
    <w:p>
      <w:pPr>
        <w:jc w:val="both"/>
        <w:keepLines/>
        <w:keepNext/>
        <w:pageBreakBefore/>
        <w:rPr>
          <w:rFonts w:hint="eastAsia" w:ascii="仿宋" w:hAnsi="仿宋" w:eastAsia="仿宋" w:cs="仿宋"/>
          <w:b/>
          <w:sz w:val="44"/>
          <w:szCs w:val="44"/>
        </w:rPr>
        <w:outlineLvl w:val="0"/>
      </w:pPr>
      <w:r/>
      <w:bookmarkStart w:id="168" w:name="_Toc22853"/>
      <w:r/>
      <w:bookmarkStart w:id="169" w:name="_Toc19649"/>
      <w:r/>
      <w:bookmarkStart w:id="170" w:name="_Toc21933"/>
      <w:r/>
      <w:bookmarkStart w:id="171" w:name="_Toc81575170"/>
      <w:r/>
      <w:bookmarkStart w:id="172" w:name="_Toc9003"/>
      <w:r/>
      <w:bookmarkStart w:id="173" w:name="_Toc81575207"/>
      <w:r>
        <w:rPr>
          <w:rFonts w:hint="eastAsia" w:ascii="仿宋" w:hAnsi="仿宋" w:eastAsia="仿宋" w:cs="仿宋"/>
          <w:b/>
          <w:sz w:val="44"/>
          <w:szCs w:val="44"/>
        </w:rPr>
        <w:t xml:space="preserve">第六章投标文件格式</w:t>
      </w:r>
      <w:bookmarkEnd w:id="168"/>
      <w:r/>
      <w:bookmarkEnd w:id="169"/>
      <w:r/>
      <w:bookmarkEnd w:id="170"/>
      <w:r/>
      <w:bookmarkEnd w:id="171"/>
      <w:r/>
      <w:bookmarkEnd w:id="172"/>
      <w:r/>
      <w:bookmarkEnd w:id="173"/>
      <w:r/>
      <w:r/>
    </w:p>
    <w:p>
      <w:pPr>
        <w:rPr>
          <w:rFonts w:hint="eastAsia" w:ascii="仿宋" w:hAnsi="仿宋" w:eastAsia="仿宋" w:cs="仿宋"/>
        </w:rPr>
      </w:pPr>
      <w:r/>
      <w:bookmarkStart w:id="174" w:name="EB819316f773b24a75aef829f9b72900c0"/>
      <w:r/>
      <w:r/>
    </w:p>
    <w:p>
      <w:pPr>
        <w:rPr>
          <w:rFonts w:hint="eastAsia" w:ascii="仿宋" w:hAnsi="仿宋" w:eastAsia="仿宋" w:cs="仿宋"/>
          <w:b/>
          <w:sz w:val="72"/>
        </w:rPr>
      </w:pPr>
      <w:r/>
      <w:bookmarkStart w:id="175" w:name="_Toc15716"/>
      <w:r/>
      <w:r/>
    </w:p>
    <w:p>
      <w:pPr>
        <w:rPr>
          <w:rFonts w:hint="eastAsia" w:ascii="仿宋" w:hAnsi="仿宋" w:eastAsia="仿宋" w:cs="仿宋"/>
          <w:b/>
          <w:sz w:val="72"/>
        </w:rPr>
      </w:pPr>
      <w:r>
        <w:rPr>
          <w:rFonts w:hint="eastAsia" w:ascii="仿宋" w:hAnsi="仿宋" w:eastAsia="仿宋" w:cs="仿宋"/>
          <w:b/>
          <w:sz w:val="72"/>
        </w:rPr>
      </w:r>
      <w:r/>
    </w:p>
    <w:p>
      <w:pP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投标文件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lang w:eastAsia="zh-CN"/>
        </w:rPr>
      </w:pPr>
      <w:r>
        <w:rPr>
          <w:rFonts w:hint="eastAsia" w:ascii="仿宋" w:hAnsi="仿宋" w:eastAsia="仿宋" w:cs="仿宋"/>
          <w:b/>
          <w:sz w:val="36"/>
        </w:rPr>
        <w:t xml:space="preserve">项目名称：</w:t>
      </w:r>
      <w:r/>
    </w:p>
    <w:p>
      <w:pPr>
        <w:ind w:firstLine="1084"/>
        <w:rPr>
          <w:rFonts w:hint="eastAsia" w:ascii="仿宋" w:hAnsi="仿宋" w:eastAsia="仿宋" w:cs="仿宋"/>
          <w:b/>
          <w:sz w:val="36"/>
          <w:u w:val="single"/>
          <w:lang w:eastAsia="zh-CN"/>
        </w:rPr>
      </w:pPr>
      <w:r>
        <w:rPr>
          <w:rFonts w:hint="eastAsia" w:ascii="仿宋" w:hAnsi="仿宋" w:eastAsia="仿宋" w:cs="仿宋"/>
          <w:b/>
          <w:sz w:val="36"/>
        </w:rPr>
        <w:t xml:space="preserve">项目编号：</w:t>
      </w:r>
      <w:r/>
    </w:p>
    <w:p>
      <w:pPr>
        <w:ind w:firstLine="1084"/>
        <w:rPr>
          <w:rFonts w:hint="eastAsia" w:ascii="仿宋" w:hAnsi="仿宋" w:eastAsia="仿宋" w:cs="仿宋"/>
          <w:b/>
          <w:sz w:val="36"/>
          <w:u w:val="single"/>
        </w:rPr>
      </w:pPr>
      <w:r>
        <w:rPr>
          <w:rFonts w:hint="eastAsia" w:ascii="仿宋" w:hAnsi="仿宋" w:eastAsia="仿宋" w:cs="仿宋"/>
          <w:b/>
          <w:sz w:val="36"/>
        </w:rPr>
        <w:t xml:space="preserve">投标人名称：</w:t>
      </w:r>
      <w:r>
        <w:rPr>
          <w:rFonts w:hint="eastAsia" w:ascii="仿宋" w:hAnsi="仿宋" w:eastAsia="仿宋" w:cs="仿宋"/>
          <w:b/>
          <w:sz w:val="36"/>
          <w:u w:val="single"/>
        </w:rPr>
        <w:t xml:space="preserve">（盖CA电子公章）</w:t>
      </w:r>
      <w:r/>
    </w:p>
    <w:p>
      <w:pPr>
        <w:ind w:firstLine="1084"/>
        <w:rPr>
          <w:rFonts w:hint="eastAsia" w:ascii="仿宋" w:hAnsi="仿宋" w:eastAsia="仿宋" w:cs="仿宋"/>
          <w:b/>
          <w:sz w:val="36"/>
          <w:u w:val="single"/>
          <w:lang w:eastAsia="zh-CN"/>
        </w:rPr>
      </w:pPr>
      <w:r>
        <w:rPr>
          <w:rFonts w:hint="eastAsia" w:ascii="仿宋" w:hAnsi="仿宋" w:eastAsia="仿宋" w:cs="仿宋"/>
          <w:b/>
          <w:sz w:val="36"/>
        </w:rPr>
        <w:t xml:space="preserve">日期：</w:t>
      </w:r>
      <w:bookmarkEnd w:id="175"/>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bookmarkEnd w:id="174"/>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rPr>
          <w:rFonts w:hint="eastAsia" w:ascii="仿宋" w:hAnsi="仿宋" w:eastAsia="仿宋" w:cs="仿宋"/>
        </w:rPr>
      </w:pPr>
      <w:r>
        <w:rPr>
          <w:rFonts w:hint="eastAsia" w:ascii="仿宋" w:hAnsi="仿宋" w:eastAsia="仿宋" w:cs="仿宋"/>
        </w:rPr>
      </w:r>
      <w:r/>
    </w:p>
    <w:p>
      <w:pPr>
        <w:pStyle w:val="1094"/>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1094"/>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pStyle w:val="1094"/>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一、投标函</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二、投标人资质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三、法人授权书</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四、开标一览表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五、分项报价表</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六、中小企业或残疾人福利性单位声明函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七、</w:t>
      </w:r>
      <w:r>
        <w:rPr>
          <w:rFonts w:hint="eastAsia" w:ascii="宋体" w:hAnsi="宋体" w:eastAsia="宋体" w:cs="宋体"/>
          <w:sz w:val="28"/>
          <w:szCs w:val="28"/>
          <w:lang w:val="en-US" w:eastAsia="zh-CN"/>
        </w:rPr>
        <w:t xml:space="preserve">项目组人员</w:t>
      </w:r>
      <w:r/>
    </w:p>
    <w:p>
      <w:pPr>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、企业业绩</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九、考核标准承诺</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w:t>
      </w:r>
      <w:r>
        <w:rPr>
          <w:rFonts w:hint="eastAsia" w:ascii="宋体" w:hAnsi="宋体" w:cs="宋体"/>
          <w:sz w:val="28"/>
          <w:szCs w:val="28"/>
          <w:lang w:val="en-US" w:eastAsia="zh-CN"/>
        </w:rPr>
        <w:t xml:space="preserve">停车场场地</w:t>
      </w:r>
      <w:r>
        <w:rPr>
          <w:rFonts w:hint="eastAsia" w:ascii="宋体" w:hAnsi="宋体" w:eastAsia="宋体" w:cs="宋体"/>
          <w:sz w:val="28"/>
          <w:szCs w:val="28"/>
          <w:lang w:val="en-US" w:eastAsia="zh-CN"/>
        </w:rPr>
        <w:t xml:space="preserve">承诺函</w:t>
      </w:r>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十一、投标所需其他材料</w:t>
      </w:r>
      <w:r/>
    </w:p>
    <w:p>
      <w:pPr>
        <w:rPr>
          <w:rFonts w:hint="eastAsia" w:ascii="宋体" w:hAnsi="宋体" w:eastAsia="宋体" w:cs="宋体"/>
        </w:rPr>
      </w:pPr>
      <w:r/>
      <w:bookmarkStart w:id="176" w:name="_Toc20577"/>
      <w:r/>
      <w:bookmarkStart w:id="177" w:name="_Toc2600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04"/>
        <w:rPr>
          <w:rFonts w:hint="eastAsia" w:ascii="宋体" w:hAnsi="宋体" w:eastAsia="宋体" w:cs="宋体"/>
          <w:b w:val="0"/>
          <w:bCs/>
        </w:rPr>
        <w:outlineLvl w:val="1"/>
      </w:pPr>
      <w:r/>
      <w:bookmarkStart w:id="178" w:name="_Toc8978"/>
      <w:r>
        <w:rPr>
          <w:rFonts w:hint="eastAsia" w:ascii="宋体" w:hAnsi="宋体" w:eastAsia="宋体" w:cs="宋体"/>
          <w:b w:val="0"/>
          <w:bCs/>
        </w:rPr>
        <w:t xml:space="preserve">一、投标函</w:t>
      </w:r>
      <w:bookmarkEnd w:id="176"/>
      <w:r/>
      <w:bookmarkEnd w:id="177"/>
      <w:r/>
      <w:bookmarkEnd w:id="178"/>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t xml:space="preserve">投标函</w:t>
      </w:r>
      <w:r/>
    </w:p>
    <w:p>
      <w:pPr>
        <w:pStyle w:val="1105"/>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的招标文件，我方在参加本项目招投标活动中，特作出如下承诺：</w:t>
      </w:r>
      <w:r/>
    </w:p>
    <w:p>
      <w:pPr>
        <w:pStyle w:val="1105"/>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rPr>
        <w:t xml:space="preserve">具备《中华人民共和国政府采购法》第二十二条第一款规定的6项条件；</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六、我方同意采购人、采购代理机构将本函上网公开。</w:t>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05"/>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105"/>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投标人名称：（盖CA电子公章）</w:t>
      </w:r>
      <w:r/>
    </w:p>
    <w:p>
      <w:pPr>
        <w:pStyle w:val="1105"/>
        <w:ind w:firstLine="480"/>
        <w:rPr>
          <w:rFonts w:hint="eastAsia" w:ascii="宋体" w:hAnsi="宋体" w:eastAsia="宋体" w:cs="宋体"/>
          <w:sz w:val="24"/>
          <w:szCs w:val="24"/>
        </w:rPr>
      </w:pPr>
      <w:r>
        <w:rPr>
          <w:rFonts w:hint="eastAsia" w:ascii="宋体" w:hAnsi="宋体" w:eastAsia="宋体" w:cs="宋体"/>
          <w:sz w:val="24"/>
          <w:szCs w:val="24"/>
        </w:rPr>
      </w:r>
      <w:r/>
    </w:p>
    <w:p>
      <w:pPr>
        <w:pStyle w:val="1105"/>
        <w:ind w:firstLine="480"/>
        <w:rPr>
          <w:rFonts w:hint="eastAsia" w:ascii="宋体" w:hAnsi="宋体" w:eastAsia="宋体" w:cs="宋体"/>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04"/>
        <w:rPr>
          <w:rFonts w:hint="eastAsia" w:ascii="宋体" w:hAnsi="宋体" w:eastAsia="宋体" w:cs="宋体"/>
          <w:b w:val="0"/>
          <w:bCs/>
        </w:rPr>
        <w:outlineLvl w:val="1"/>
      </w:pPr>
      <w:r/>
      <w:bookmarkStart w:id="179" w:name="_Toc15099"/>
      <w:r>
        <w:rPr>
          <w:rFonts w:hint="eastAsia" w:ascii="宋体" w:hAnsi="宋体" w:eastAsia="宋体" w:cs="宋体"/>
          <w:b w:val="0"/>
          <w:bCs/>
        </w:rPr>
        <w:t xml:space="preserve">二、投标人资质</w:t>
      </w:r>
      <w:bookmarkEnd w:id="179"/>
      <w:r/>
      <w:r/>
    </w:p>
    <w:p>
      <w:pPr>
        <w:rPr>
          <w:rFonts w:hint="eastAsia" w:ascii="宋体" w:hAnsi="宋体" w:eastAsia="宋体" w:cs="宋体"/>
        </w:rPr>
      </w:pPr>
      <w:r>
        <w:rPr>
          <w:rFonts w:hint="eastAsia" w:ascii="宋体" w:hAnsi="宋体" w:eastAsia="宋体" w:cs="宋体"/>
        </w:rPr>
        <w:t xml:space="preserve">按招标文件要求提供相应资质证书</w:t>
      </w:r>
      <w:r/>
    </w:p>
    <w:p>
      <w:pPr>
        <w:rPr>
          <w:rFonts w:hint="eastAsia" w:ascii="宋体" w:hAnsi="宋体" w:eastAsia="宋体" w:cs="宋体"/>
        </w:rPr>
        <w:outlineLvl w:val="1"/>
      </w:pPr>
      <w:r>
        <w:rPr>
          <w:rFonts w:hint="eastAsia" w:ascii="宋体" w:hAnsi="宋体" w:eastAsia="宋体" w:cs="宋体"/>
        </w:rPr>
        <w:br w:type="page" w:clear="all"/>
      </w:r>
      <w:bookmarkStart w:id="180" w:name="_Toc29506"/>
      <w:r/>
      <w:bookmarkStart w:id="181" w:name="_Toc3680"/>
      <w:r/>
      <w:bookmarkStart w:id="182" w:name="_Toc27409"/>
      <w:r>
        <w:rPr>
          <w:rFonts w:hint="eastAsia" w:ascii="宋体" w:hAnsi="宋体" w:eastAsia="宋体" w:cs="宋体"/>
          <w:bCs/>
          <w:sz w:val="32"/>
          <w:szCs w:val="24"/>
        </w:rPr>
        <w:t xml:space="preserve">三、</w:t>
      </w:r>
      <w:bookmarkEnd w:id="180"/>
      <w:r/>
      <w:bookmarkEnd w:id="181"/>
      <w:r>
        <w:rPr>
          <w:rFonts w:hint="eastAsia" w:ascii="宋体" w:hAnsi="宋体" w:eastAsia="宋体" w:cs="宋体"/>
          <w:bCs/>
          <w:sz w:val="32"/>
          <w:szCs w:val="24"/>
        </w:rPr>
        <w:t xml:space="preserve">法人授权书</w:t>
      </w:r>
      <w:bookmarkEnd w:id="182"/>
      <w:r/>
      <w:r/>
    </w:p>
    <w:p>
      <w:pPr>
        <w:pStyle w:val="1105"/>
        <w:jc w:val="center"/>
        <w:rPr>
          <w:rFonts w:hint="eastAsia" w:ascii="宋体" w:hAnsi="宋体" w:eastAsia="宋体" w:cs="宋体"/>
          <w:bCs/>
          <w:sz w:val="32"/>
          <w:szCs w:val="32"/>
        </w:rPr>
      </w:pPr>
      <w:r/>
      <w:bookmarkStart w:id="183" w:name="OLE_LINK6"/>
      <w:r>
        <w:rPr>
          <w:rFonts w:hint="eastAsia" w:ascii="宋体" w:hAnsi="宋体" w:eastAsia="宋体" w:cs="宋体"/>
          <w:bCs/>
          <w:sz w:val="32"/>
          <w:szCs w:val="32"/>
        </w:rPr>
        <w:t xml:space="preserve">法人授权书</w:t>
      </w:r>
      <w:bookmarkEnd w:id="183"/>
      <w:r/>
      <w:r/>
    </w:p>
    <w:p>
      <w:pPr>
        <w:pStyle w:val="1225"/>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本授权书声明：</w:t>
      </w:r>
      <w:r>
        <w:rPr>
          <w:rFonts w:hint="eastAsia" w:ascii="宋体" w:hAnsi="宋体" w:eastAsia="宋体" w:cs="宋体"/>
          <w:color w:val="auto"/>
          <w:sz w:val="24"/>
          <w:szCs w:val="24"/>
          <w:u w:val="single"/>
        </w:rPr>
        <w:t xml:space="preserve">____________</w:t>
      </w:r>
      <w:r>
        <w:rPr>
          <w:rFonts w:hint="eastAsia" w:ascii="宋体" w:hAnsi="宋体" w:eastAsia="宋体" w:cs="宋体"/>
          <w:sz w:val="24"/>
          <w:szCs w:val="24"/>
        </w:rPr>
        <w:t xml:space="preserve">（投标人名称）授权</w:t>
      </w:r>
      <w:r>
        <w:rPr>
          <w:rFonts w:hint="eastAsia" w:ascii="宋体" w:hAnsi="宋体" w:eastAsia="宋体" w:cs="宋体"/>
          <w:sz w:val="24"/>
          <w:szCs w:val="24"/>
          <w:u w:val="single"/>
        </w:rPr>
        <w:t xml:space="preserve">________________</w:t>
      </w:r>
      <w:r>
        <w:rPr>
          <w:rFonts w:hint="eastAsia" w:ascii="宋体" w:hAnsi="宋体" w:eastAsia="宋体" w:cs="宋体"/>
          <w:sz w:val="24"/>
          <w:szCs w:val="24"/>
        </w:rPr>
        <w:t xml:space="preserve">（被授权人的姓名）为我方就</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号</w:t>
      </w:r>
      <w:r>
        <w:rPr>
          <w:rFonts w:hint="eastAsia" w:ascii="宋体" w:hAnsi="宋体" w:eastAsia="宋体" w:cs="宋体"/>
          <w:sz w:val="24"/>
          <w:szCs w:val="24"/>
          <w:u w:val="single"/>
        </w:rPr>
        <w:t xml:space="preserve">（项目名称）项目</w:t>
      </w:r>
      <w:r>
        <w:rPr>
          <w:rFonts w:hint="eastAsia" w:ascii="宋体" w:hAnsi="宋体" w:eastAsia="宋体" w:cs="宋体"/>
          <w:sz w:val="24"/>
          <w:szCs w:val="24"/>
        </w:rPr>
        <w:t xml:space="preserve">采购活动的合法代理人，以本单位名义全权处理一切与该项目采购有关的事务。</w:t>
      </w:r>
      <w:r/>
    </w:p>
    <w:p>
      <w:pPr>
        <w:pStyle w:val="1225"/>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本授权书于</w:t>
      </w:r>
      <w:r>
        <w:rPr>
          <w:rFonts w:hint="eastAsia" w:ascii="宋体" w:hAnsi="宋体" w:eastAsia="宋体" w:cs="宋体"/>
          <w:sz w:val="24"/>
          <w:szCs w:val="24"/>
          <w:u w:val="single"/>
        </w:rPr>
        <w:t xml:space="preserve">______</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____</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____</w:t>
      </w:r>
      <w:r>
        <w:rPr>
          <w:rFonts w:hint="eastAsia" w:ascii="宋体" w:hAnsi="宋体" w:eastAsia="宋体" w:cs="宋体"/>
          <w:sz w:val="24"/>
          <w:szCs w:val="24"/>
        </w:rPr>
        <w:t xml:space="preserve">日起生效，特此声明。</w:t>
      </w:r>
      <w:r/>
    </w:p>
    <w:p>
      <w:pPr>
        <w:pStyle w:val="1225"/>
        <w:ind w:firstLine="482"/>
        <w:spacing w:line="48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被授权人身份证号码：</w:t>
      </w:r>
      <w:r/>
    </w:p>
    <w:p>
      <w:pPr>
        <w:pStyle w:val="1225"/>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被授权人联系电话：（手机）</w:t>
      </w:r>
      <w:r/>
    </w:p>
    <w:p>
      <w:pPr>
        <w:pStyle w:val="1225"/>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（盖CA电子公章）</w:t>
      </w:r>
      <w:r/>
    </w:p>
    <w:p>
      <w:pPr>
        <w:pStyle w:val="1225"/>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单位地址：</w:t>
      </w:r>
      <w:r/>
    </w:p>
    <w:p>
      <w:pPr>
        <w:pStyle w:val="1225"/>
        <w:ind w:firstLine="482"/>
        <w:spacing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日期：</w:t>
      </w:r>
      <w:bookmarkStart w:id="184" w:name="_Hlt26955070"/>
      <w:r/>
      <w:bookmarkEnd w:id="184"/>
      <w:r/>
      <w:bookmarkStart w:id="185" w:name="_格式3__银行出具的资信证明"/>
      <w:r/>
      <w:bookmarkEnd w:id="185"/>
      <w:r/>
      <w:bookmarkStart w:id="186" w:name="_Hlt26671380"/>
      <w:r/>
      <w:bookmarkEnd w:id="186"/>
      <w:r/>
      <w:r/>
    </w:p>
    <w:p>
      <w:pPr>
        <w:pStyle w:val="1107"/>
        <w:ind w:firstLine="629"/>
        <w:spacing w:line="700" w:lineRule="exact"/>
        <w:rPr>
          <w:rFonts w:hint="eastAsia" w:ascii="宋体" w:hAnsi="宋体" w:eastAsia="宋体" w:cs="宋体"/>
          <w:sz w:val="24"/>
        </w:rPr>
      </w:pPr>
      <w:r>
        <w:rPr>
          <w:rFonts w:hint="eastAsia" w:ascii="宋体" w:hAnsi="宋体" w:eastAsia="宋体" w:cs="宋体"/>
          <w:sz w:val="24"/>
        </w:rPr>
      </w:r>
      <w:r/>
    </w:p>
    <w:p>
      <w:pPr>
        <w:pStyle w:val="1110"/>
        <w:rPr>
          <w:rFonts w:hint="eastAsia" w:ascii="宋体" w:hAnsi="宋体" w:eastAsia="宋体" w:cs="宋体"/>
        </w:rPr>
        <w:outlineLvl w:val="1"/>
      </w:pPr>
      <w:r>
        <w:rPr>
          <w:rFonts w:hint="eastAsia" w:ascii="宋体" w:hAnsi="宋体" w:eastAsia="宋体" w:cs="宋体"/>
        </w:rPr>
        <w:br w:type="page" w:clear="all"/>
      </w:r>
      <w:bookmarkStart w:id="187" w:name="_Toc27199"/>
      <w:r/>
      <w:bookmarkStart w:id="188" w:name="_Toc13550"/>
      <w:r/>
      <w:bookmarkStart w:id="189" w:name="_Toc30543"/>
      <w:r>
        <w:rPr>
          <w:rFonts w:hint="eastAsia" w:ascii="宋体" w:hAnsi="宋体" w:eastAsia="宋体" w:cs="宋体"/>
          <w:b w:val="0"/>
          <w:bCs/>
        </w:rPr>
        <w:t xml:space="preserve">四、开标一览表</w:t>
      </w:r>
      <w:bookmarkEnd w:id="187"/>
      <w:r/>
      <w:bookmarkEnd w:id="188"/>
      <w:r/>
      <w:bookmarkEnd w:id="189"/>
      <w:r/>
      <w:r/>
    </w:p>
    <w:p>
      <w:pPr>
        <w:pStyle w:val="1111"/>
        <w:rPr>
          <w:rFonts w:hint="eastAsia" w:ascii="宋体" w:hAnsi="宋体" w:eastAsia="宋体" w:cs="宋体"/>
        </w:rPr>
      </w:pPr>
      <w:r>
        <w:rPr>
          <w:rFonts w:hint="eastAsia" w:ascii="宋体" w:hAnsi="宋体" w:eastAsia="宋体" w:cs="宋体"/>
        </w:rPr>
      </w:r>
      <w:r/>
    </w:p>
    <w:p>
      <w:pPr>
        <w:pStyle w:val="1122"/>
        <w:ind w:firstLine="442"/>
        <w:spacing w:line="480" w:lineRule="exact"/>
        <w:rPr>
          <w:rFonts w:hint="eastAsia" w:ascii="宋体" w:hAnsi="宋体" w:eastAsia="宋体" w:cs="宋体"/>
          <w:sz w:val="24"/>
          <w:szCs w:val="24"/>
        </w:rPr>
      </w:pPr>
      <w:r/>
      <w:bookmarkStart w:id="190" w:name="_Toc956"/>
      <w:r/>
      <w:bookmarkStart w:id="191" w:name="_Toc26543"/>
      <w:r/>
      <w:bookmarkStart w:id="192" w:name="_Toc12614"/>
      <w:r>
        <w:rPr>
          <w:rFonts w:hint="eastAsia" w:ascii="宋体" w:hAnsi="宋体" w:eastAsia="宋体" w:cs="宋体"/>
          <w:sz w:val="32"/>
          <w:lang w:val="en-US" w:eastAsia="zh-CN"/>
        </w:rPr>
        <w:t xml:space="preserve">格式详见投标文件制作工具</w:t>
      </w:r>
      <w:r/>
    </w:p>
    <w:p>
      <w:pPr>
        <w:pStyle w:val="1113"/>
        <w:rPr>
          <w:rFonts w:hint="eastAsia" w:ascii="宋体" w:hAnsi="宋体" w:eastAsia="宋体" w:cs="宋体"/>
        </w:rPr>
        <w:outlineLvl w:val="1"/>
      </w:pPr>
      <w:r>
        <w:rPr>
          <w:rFonts w:hint="eastAsia" w:ascii="宋体" w:hAnsi="宋体" w:eastAsia="宋体" w:cs="宋体"/>
          <w:b w:val="0"/>
          <w:bCs/>
        </w:rPr>
        <w:br w:type="page" w:clear="all"/>
      </w:r>
      <w:r>
        <w:rPr>
          <w:rFonts w:hint="eastAsia" w:ascii="宋体" w:hAnsi="宋体" w:eastAsia="宋体" w:cs="宋体"/>
          <w:b w:val="0"/>
          <w:bCs/>
        </w:rPr>
        <w:t xml:space="preserve">五、</w:t>
      </w:r>
      <w:bookmarkEnd w:id="190"/>
      <w:r/>
      <w:bookmarkEnd w:id="191"/>
      <w:r>
        <w:rPr>
          <w:rFonts w:hint="eastAsia" w:ascii="宋体" w:hAnsi="宋体" w:eastAsia="宋体" w:cs="宋体"/>
          <w:b w:val="0"/>
          <w:bCs/>
        </w:rPr>
        <w:t xml:space="preserve">分项报价表</w:t>
      </w:r>
      <w:bookmarkEnd w:id="192"/>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t xml:space="preserve">分项报价表</w:t>
      </w:r>
      <w:r/>
    </w:p>
    <w:tbl>
      <w:tblPr>
        <w:tblStyle w:val="787"/>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555"/>
        <w:gridCol w:w="3378"/>
        <w:gridCol w:w="991"/>
      </w:tblGrid>
      <w:tr>
        <w:trPr>
          <w:cantSplit/>
          <w:trHeight w:val="630"/>
        </w:trPr>
        <w:tc>
          <w:tcPr>
            <w:tcW w:w="654"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bookmarkStart w:id="193" w:name="_Toc17418"/>
            <w:r>
              <w:rPr>
                <w:rFonts w:hint="eastAsia" w:ascii="宋体" w:hAnsi="宋体" w:eastAsia="宋体" w:cs="宋体"/>
                <w:sz w:val="28"/>
                <w:szCs w:val="28"/>
                <w:highlight w:val="none"/>
              </w:rPr>
              <w:t xml:space="preserve">序号</w:t>
            </w:r>
            <w:r/>
          </w:p>
        </w:tc>
        <w:tc>
          <w:tcPr>
            <w:gridSpan w:val="2"/>
            <w:tcW w:w="3962"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服务费用简述</w:t>
            </w:r>
            <w:r/>
          </w:p>
        </w:tc>
        <w:tc>
          <w:tcPr>
            <w:tcW w:w="3378"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折扣/优惠率</w:t>
            </w:r>
            <w:r/>
          </w:p>
        </w:tc>
        <w:tc>
          <w:tcPr>
            <w:tcW w:w="991" w:type="dxa"/>
            <w:vAlign w:val="center"/>
            <w:textDirection w:val="lrTb"/>
            <w:noWrap w:val="false"/>
          </w:tcPr>
          <w:p>
            <w:pPr>
              <w:pStyle w:val="1202"/>
              <w:jc w:val="center"/>
              <w:spacing w:line="3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tc>
      </w:tr>
      <w:tr>
        <w:trPr>
          <w:cantSplit/>
          <w:trHeight w:val="482"/>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b/>
                <w:bCs/>
                <w:sz w:val="28"/>
                <w:szCs w:val="28"/>
                <w:highlight w:val="none"/>
                <w:lang w:val="en-US" w:eastAsia="zh-CN"/>
              </w:rPr>
              <w:t xml:space="preserve">%</w:t>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376"/>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0"/>
        </w:trPr>
        <w:tc>
          <w:tcPr>
            <w:tcW w:w="654" w:type="dxa"/>
            <w:vAlign w:val="top"/>
            <w:textDirection w:val="lrTb"/>
            <w:noWrap w:val="false"/>
          </w:tcPr>
          <w:p>
            <w:pPr>
              <w:pStyle w:val="1202"/>
              <w:jc w:val="center"/>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vMerge w:val="restart"/>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70"/>
        </w:trPr>
        <w:tc>
          <w:tcPr>
            <w:tcW w:w="654" w:type="dxa"/>
            <w:vAlign w:val="top"/>
            <w:textDirection w:val="lrTb"/>
            <w:noWrap w:val="false"/>
          </w:tcPr>
          <w:p>
            <w:pPr>
              <w:pStyle w:val="1202"/>
              <w:spacing w:line="56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tc>
        <w:tc>
          <w:tcPr>
            <w:gridSpan w:val="2"/>
            <w:tcW w:w="3962" w:type="dxa"/>
            <w:vAlign w:val="top"/>
            <w:textDirection w:val="lrTb"/>
            <w:noWrap w:val="false"/>
          </w:tcPr>
          <w:p>
            <w:pPr>
              <w:pStyle w:val="1202"/>
              <w:jc w:val="center"/>
              <w:spacing w:line="560" w:lineRule="exac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3378" w:type="dxa"/>
            <w:vAlign w:val="center"/>
            <w:vMerge w:val="continue"/>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991" w:type="dxa"/>
            <w:vAlign w:val="center"/>
            <w:textDirection w:val="lrTb"/>
            <w:noWrap w:val="false"/>
          </w:tcPr>
          <w:p>
            <w:pPr>
              <w:pStyle w:val="1202"/>
              <w:jc w:val="center"/>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766"/>
        </w:trPr>
        <w:tc>
          <w:tcPr>
            <w:gridSpan w:val="2"/>
            <w:tcW w:w="2061" w:type="dxa"/>
            <w:vAlign w:val="center"/>
            <w:textDirection w:val="lrTb"/>
            <w:noWrap w:val="false"/>
          </w:tcPr>
          <w:p>
            <w:pPr>
              <w:pStyle w:val="1202"/>
              <w:jc w:val="center"/>
              <w:spacing w:line="5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投标报价</w:t>
            </w:r>
            <w:r/>
          </w:p>
        </w:tc>
        <w:tc>
          <w:tcPr>
            <w:gridSpan w:val="3"/>
            <w:tcW w:w="6924" w:type="dxa"/>
            <w:vAlign w:val="center"/>
            <w:textDirection w:val="lrTb"/>
            <w:noWrap w:val="false"/>
          </w:tcPr>
          <w:p>
            <w:pPr>
              <w:pStyle w:val="1202"/>
              <w:jc w:val="center"/>
              <w:spacing w:line="500" w:lineRule="exact"/>
              <w:rPr>
                <w:rFonts w:hint="eastAsia" w:ascii="宋体" w:hAnsi="宋体" w:eastAsia="宋体" w:cs="宋体"/>
                <w:b/>
                <w:bCs/>
                <w:sz w:val="24"/>
                <w:highlight w:val="none"/>
              </w:rPr>
            </w:pPr>
            <w:r>
              <w:rPr>
                <w:rFonts w:hint="eastAsia" w:ascii="宋体" w:hAnsi="宋体" w:eastAsia="宋体" w:cs="宋体"/>
                <w:b/>
                <w:bCs/>
                <w:sz w:val="28"/>
                <w:szCs w:val="28"/>
                <w:highlight w:val="none"/>
              </w:rPr>
              <w:t xml:space="preserve">折扣/优惠率</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w:t>
            </w:r>
            <w:r/>
          </w:p>
        </w:tc>
      </w:tr>
    </w:tbl>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1.“投标报价”数额应当与“开标一览表”中“投标报价”数额一致。</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本表应按包分别填写。</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按投标费率（折扣）报价，投标折扣以%为单位，最高不得超过100%进行报价，</w:t>
      </w:r>
      <w:r>
        <w:rPr>
          <w:rFonts w:hint="eastAsia" w:ascii="宋体" w:hAnsi="宋体" w:eastAsia="宋体" w:cs="宋体"/>
          <w:sz w:val="24"/>
          <w:szCs w:val="24"/>
          <w:highlight w:val="none"/>
          <w:lang w:val="en-US" w:eastAsia="zh-CN"/>
        </w:rPr>
        <w:t xml:space="preserve">投标人应按照统一的整体折扣进行报价。</w:t>
      </w:r>
      <w:r>
        <w:rPr>
          <w:rFonts w:hint="eastAsia" w:ascii="宋体" w:hAnsi="宋体" w:eastAsia="宋体" w:cs="宋体"/>
          <w:sz w:val="24"/>
          <w:szCs w:val="24"/>
          <w:highlight w:val="none"/>
        </w:rPr>
        <w:t xml:space="preserve">结算价款按实际发生的费用*中标折扣</w:t>
      </w:r>
      <w:r>
        <w:rPr>
          <w:rFonts w:hint="eastAsia" w:ascii="宋体" w:hAnsi="宋体" w:eastAsia="宋体" w:cs="宋体"/>
          <w:sz w:val="24"/>
          <w:szCs w:val="24"/>
          <w:highlight w:val="none"/>
          <w:lang w:val="en-US" w:eastAsia="zh-CN"/>
        </w:rPr>
        <w:t xml:space="preserve">。</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pStyle w:val="1105"/>
        <w:jc w:val="center"/>
        <w:rPr>
          <w:rFonts w:hint="eastAsia" w:ascii="宋体" w:hAnsi="宋体" w:eastAsia="宋体" w:cs="宋体"/>
        </w:rPr>
      </w:pPr>
      <w:r>
        <w:rPr>
          <w:rFonts w:hint="eastAsia" w:ascii="宋体" w:hAnsi="宋体" w:eastAsia="宋体" w:cs="宋体"/>
          <w:b/>
          <w:bCs/>
        </w:rPr>
        <w:br w:type="page" w:clear="all"/>
      </w:r>
      <w:r/>
    </w:p>
    <w:p>
      <w:pPr>
        <w:pStyle w:val="1139"/>
        <w:rPr>
          <w:rFonts w:hint="eastAsia" w:ascii="宋体" w:hAnsi="宋体" w:eastAsia="宋体" w:cs="宋体"/>
          <w:b w:val="0"/>
          <w:bCs/>
        </w:rPr>
        <w:outlineLvl w:val="1"/>
      </w:pPr>
      <w:r/>
      <w:bookmarkStart w:id="194" w:name="_Toc21129"/>
      <w:r/>
      <w:bookmarkStart w:id="195" w:name="_Toc2747"/>
      <w:r>
        <w:rPr>
          <w:rFonts w:hint="eastAsia" w:ascii="宋体" w:hAnsi="宋体" w:eastAsia="宋体" w:cs="宋体"/>
          <w:b w:val="0"/>
          <w:bCs/>
        </w:rPr>
        <w:t xml:space="preserve">六、中小企业或残疾人福利性单位声明函</w:t>
      </w:r>
      <w:bookmarkEnd w:id="193"/>
      <w:r/>
      <w:bookmarkEnd w:id="194"/>
      <w:r/>
      <w:bookmarkEnd w:id="195"/>
      <w:r/>
      <w:r/>
    </w:p>
    <w:p>
      <w:pPr>
        <w:pStyle w:val="110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122"/>
        <w:ind w:firstLine="442"/>
        <w:spacing w:line="480" w:lineRule="exact"/>
        <w:rPr>
          <w:rFonts w:hint="eastAsia" w:ascii="宋体" w:hAnsi="宋体" w:eastAsia="宋体" w:cs="宋体"/>
          <w:sz w:val="24"/>
          <w:szCs w:val="24"/>
        </w:rPr>
      </w:pPr>
      <w:r>
        <w:rPr>
          <w:rFonts w:hint="eastAsia" w:ascii="宋体" w:hAnsi="宋体" w:eastAsia="宋体" w:cs="宋体"/>
          <w:sz w:val="32"/>
          <w:lang w:val="en-US" w:eastAsia="zh-CN"/>
        </w:rPr>
        <w:t xml:space="preserve">格式详见投标文件制作工具</w:t>
      </w:r>
      <w:r/>
    </w:p>
    <w:p>
      <w:pPr>
        <w:pStyle w:val="814"/>
        <w:rPr>
          <w:rFonts w:hint="eastAsia" w:ascii="宋体" w:hAnsi="宋体" w:eastAsia="宋体" w:cs="宋体"/>
          <w:b w:val="0"/>
          <w:bCs w:val="0"/>
        </w:rPr>
      </w:pPr>
      <w:r>
        <w:rPr>
          <w:rFonts w:hint="eastAsia" w:ascii="宋体" w:hAnsi="宋体" w:eastAsia="宋体" w:cs="宋体"/>
          <w:b w:val="0"/>
          <w:bCs w:val="0"/>
          <w:color w:val="000000"/>
          <w:szCs w:val="32"/>
        </w:rPr>
        <w:t xml:space="preserve">七</w:t>
      </w:r>
      <w:r>
        <w:rPr>
          <w:rFonts w:hint="eastAsia" w:ascii="宋体" w:hAnsi="宋体" w:eastAsia="宋体" w:cs="宋体"/>
          <w:b w:val="0"/>
          <w:bCs w:val="0"/>
          <w:color w:val="000000"/>
          <w:szCs w:val="32"/>
          <w:lang w:eastAsia="zh-CN"/>
        </w:rPr>
        <w:t xml:space="preserve">、</w:t>
      </w:r>
      <w:bookmarkStart w:id="196" w:name="_Toc15871"/>
      <w:r/>
      <w:bookmarkStart w:id="197" w:name="_Toc25337"/>
      <w:r>
        <w:rPr>
          <w:rFonts w:hint="eastAsia" w:ascii="宋体" w:hAnsi="宋体" w:eastAsia="宋体" w:cs="宋体"/>
          <w:b w:val="0"/>
          <w:bCs w:val="0"/>
        </w:rPr>
        <w:t xml:space="preserve">项目组人员</w:t>
      </w:r>
      <w:r/>
    </w:p>
    <w:tbl>
      <w:tblPr>
        <w:tblStyle w:val="78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W w:w="1843"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职务</w:t>
            </w:r>
            <w:r/>
          </w:p>
        </w:tc>
        <w:tc>
          <w:tcPr>
            <w:tcW w:w="992"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学历</w:t>
            </w:r>
            <w:r/>
          </w:p>
        </w:tc>
        <w:tc>
          <w:tcPr>
            <w:tcW w:w="1984" w:type="dxa"/>
            <w:vAlign w:val="center"/>
            <w:textDirection w:val="lrTb"/>
            <w:noWrap w:val="false"/>
          </w:tcPr>
          <w:p>
            <w:pPr>
              <w:pStyle w:val="1211"/>
              <w:ind w:firstLine="280"/>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身份证号</w:t>
            </w:r>
            <w:r/>
          </w:p>
        </w:tc>
        <w:tc>
          <w:tcPr>
            <w:tcW w:w="1702" w:type="dxa"/>
            <w:vAlign w:val="center"/>
            <w:textDirection w:val="lrTb"/>
            <w:noWrap w:val="false"/>
          </w:tcPr>
          <w:p>
            <w:pPr>
              <w:pStyle w:val="121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相关证书</w:t>
            </w:r>
            <w:r/>
          </w:p>
        </w:tc>
        <w:tc>
          <w:tcPr>
            <w:tcW w:w="962" w:type="dxa"/>
            <w:vAlign w:val="center"/>
            <w:textDirection w:val="lrTb"/>
            <w:noWrap w:val="false"/>
          </w:tcPr>
          <w:p>
            <w:pPr>
              <w:pStyle w:val="1211"/>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W w:w="959"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843" w:type="dxa"/>
            <w:vAlign w:val="center"/>
            <w:textDirection w:val="lrTb"/>
            <w:noWrap w:val="false"/>
          </w:tcPr>
          <w:p>
            <w:pPr>
              <w:pStyle w:val="1271"/>
              <w:jc w:val="center"/>
              <w:rPr>
                <w:rFonts w:hint="eastAsia" w:ascii="宋体" w:hAnsi="宋体" w:eastAsia="宋体" w:cs="宋体"/>
                <w:sz w:val="20"/>
                <w:szCs w:val="20"/>
              </w:rPr>
            </w:pPr>
            <w:r>
              <w:rPr>
                <w:rFonts w:hint="eastAsia" w:ascii="宋体" w:hAnsi="宋体" w:eastAsia="宋体" w:cs="宋体"/>
                <w:sz w:val="20"/>
                <w:szCs w:val="20"/>
              </w:rPr>
            </w:r>
            <w:r/>
          </w:p>
        </w:tc>
        <w:tc>
          <w:tcPr>
            <w:tcW w:w="99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984"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70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962" w:type="dxa"/>
            <w:vAlign w:val="center"/>
            <w:textDirection w:val="lrTb"/>
            <w:noWrap w:val="false"/>
          </w:tcPr>
          <w:p>
            <w:pPr>
              <w:pStyle w:val="121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ind w:firstLine="210"/>
        <w:spacing w:line="480" w:lineRule="exact"/>
        <w:rPr>
          <w:rFonts w:hint="eastAsia" w:ascii="宋体" w:hAnsi="宋体" w:eastAsia="宋体" w:cs="宋体"/>
          <w:color w:val="ff0000"/>
          <w:sz w:val="24"/>
          <w:szCs w:val="20"/>
        </w:rPr>
      </w:pPr>
      <w:r>
        <w:rPr>
          <w:rFonts w:hint="eastAsia" w:ascii="宋体" w:hAnsi="宋体" w:eastAsia="宋体" w:cs="宋体"/>
          <w:sz w:val="24"/>
          <w:szCs w:val="20"/>
        </w:rPr>
        <w:t xml:space="preserve">注：1.如投标人中标，项目组成员按本表承诺人员操作，不得随意更换。按采购文件要求附相关人员证书</w:t>
      </w:r>
      <w:bookmarkStart w:id="198" w:name="_格式2__法定代表人授权书"/>
      <w:r/>
      <w:bookmarkEnd w:id="198"/>
      <w:r/>
      <w:bookmarkStart w:id="199" w:name="OLE_LINK8"/>
      <w:r>
        <w:rPr>
          <w:rFonts w:hint="eastAsia" w:ascii="宋体" w:hAnsi="宋体" w:eastAsia="宋体" w:cs="宋体"/>
          <w:sz w:val="24"/>
          <w:szCs w:val="20"/>
        </w:rPr>
        <w:t xml:space="preserve">。</w:t>
      </w:r>
      <w:bookmarkEnd w:id="199"/>
      <w:r/>
      <w:r/>
    </w:p>
    <w:p>
      <w:pPr>
        <w:rPr>
          <w:rFonts w:hint="eastAsia" w:ascii="宋体" w:hAnsi="宋体" w:eastAsia="宋体" w:cs="宋体"/>
          <w:color w:val="ff0000"/>
          <w:szCs w:val="21"/>
        </w:rPr>
      </w:pPr>
      <w:r>
        <w:rPr>
          <w:rFonts w:hint="eastAsia" w:ascii="宋体" w:hAnsi="宋体" w:eastAsia="宋体" w:cs="宋体"/>
          <w:color w:val="ff0000"/>
          <w:szCs w:val="21"/>
        </w:rPr>
      </w:r>
      <w:r/>
    </w:p>
    <w:p>
      <w:pPr>
        <w:ind w:firstLine="210"/>
        <w:rPr>
          <w:rFonts w:hint="eastAsia" w:ascii="宋体" w:hAnsi="宋体" w:eastAsia="宋体" w:cs="宋体"/>
          <w:szCs w:val="21"/>
        </w:rPr>
      </w:pPr>
      <w:r>
        <w:rPr>
          <w:rFonts w:hint="eastAsia" w:ascii="宋体" w:hAnsi="宋体" w:eastAsia="宋体" w:cs="宋体"/>
          <w:szCs w:val="21"/>
        </w:rPr>
      </w:r>
      <w:r/>
    </w:p>
    <w:p>
      <w:pPr>
        <w:pStyle w:val="1139"/>
        <w:ind w:left="210"/>
        <w:rPr>
          <w:rFonts w:hint="eastAsia" w:ascii="宋体" w:hAnsi="宋体" w:eastAsia="宋体" w:cs="宋体"/>
          <w:b w:val="0"/>
          <w:szCs w:val="32"/>
        </w:rPr>
        <w:outlineLvl w:val="1"/>
      </w:pPr>
      <w:r>
        <w:rPr>
          <w:rFonts w:hint="eastAsia" w:ascii="宋体" w:hAnsi="宋体" w:eastAsia="宋体" w:cs="宋体"/>
          <w:b w:val="0"/>
          <w:szCs w:val="32"/>
        </w:rPr>
        <w:br w:type="page" w:clear="all"/>
      </w:r>
      <w:r>
        <w:rPr>
          <w:rFonts w:hint="eastAsia" w:ascii="宋体" w:hAnsi="宋体" w:eastAsia="宋体" w:cs="宋体"/>
          <w:b w:val="0"/>
          <w:szCs w:val="32"/>
          <w:lang w:val="en-US" w:eastAsia="zh-CN"/>
        </w:rPr>
        <w:t xml:space="preserve">八</w:t>
      </w:r>
      <w:r>
        <w:rPr>
          <w:rFonts w:hint="eastAsia" w:ascii="宋体" w:hAnsi="宋体" w:eastAsia="宋体" w:cs="宋体"/>
          <w:b w:val="0"/>
          <w:szCs w:val="32"/>
        </w:rPr>
        <w:t xml:space="preserve">、企业业绩</w:t>
      </w:r>
      <w:bookmarkEnd w:id="196"/>
      <w:r/>
      <w:bookmarkEnd w:id="197"/>
      <w:r/>
      <w:r/>
    </w:p>
    <w:p>
      <w:pPr>
        <w:pStyle w:val="1147"/>
        <w:jc w:val="center"/>
        <w:rPr>
          <w:rFonts w:hint="eastAsia" w:ascii="宋体" w:hAnsi="宋体" w:eastAsia="宋体" w:cs="宋体"/>
          <w:bCs/>
          <w:sz w:val="32"/>
          <w:szCs w:val="32"/>
        </w:rPr>
      </w:pPr>
      <w:r>
        <w:rPr>
          <w:rFonts w:hint="eastAsia" w:ascii="宋体" w:hAnsi="宋体" w:eastAsia="宋体" w:cs="宋体"/>
          <w:bCs/>
          <w:sz w:val="32"/>
          <w:szCs w:val="32"/>
        </w:rPr>
        <w:t xml:space="preserve">投标人</w:t>
      </w:r>
      <w:bookmarkStart w:id="200" w:name="_Hlk187935031"/>
      <w:r>
        <w:rPr>
          <w:rFonts w:hint="eastAsia" w:ascii="宋体" w:hAnsi="宋体" w:eastAsia="宋体" w:cs="宋体"/>
          <w:bCs/>
          <w:sz w:val="32"/>
          <w:szCs w:val="32"/>
        </w:rPr>
        <w:t xml:space="preserve">自年月日以来承担</w:t>
      </w:r>
      <w:r/>
    </w:p>
    <w:p>
      <w:pPr>
        <w:pStyle w:val="1147"/>
        <w:jc w:val="center"/>
        <w:rPr>
          <w:rFonts w:hint="eastAsia" w:ascii="宋体" w:hAnsi="宋体" w:eastAsia="宋体" w:cs="宋体"/>
          <w:bCs/>
          <w:sz w:val="32"/>
          <w:szCs w:val="32"/>
        </w:rPr>
      </w:pPr>
      <w:r>
        <w:rPr>
          <w:rFonts w:hint="eastAsia" w:ascii="宋体" w:hAnsi="宋体" w:eastAsia="宋体" w:cs="宋体"/>
          <w:bCs/>
          <w:sz w:val="32"/>
          <w:szCs w:val="32"/>
        </w:rPr>
        <w:t xml:space="preserve">类似项目业绩一览表</w:t>
      </w:r>
      <w:bookmarkEnd w:id="200"/>
      <w:r/>
      <w:r/>
    </w:p>
    <w:tbl>
      <w:tblPr>
        <w:tblStyle w:val="78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vAlign w:val="top"/>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序</w:t>
            </w:r>
            <w:r/>
          </w:p>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号</w:t>
            </w:r>
            <w:r/>
          </w:p>
        </w:tc>
        <w:tc>
          <w:tcPr>
            <w:tcW w:w="3583"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1417"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701"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合同主要标的</w:t>
            </w:r>
            <w:r/>
          </w:p>
        </w:tc>
        <w:tc>
          <w:tcPr>
            <w:tcW w:w="954" w:type="dxa"/>
            <w:vAlign w:val="center"/>
            <w:textDirection w:val="lrTb"/>
            <w:noWrap w:val="false"/>
          </w:tcPr>
          <w:p>
            <w:pPr>
              <w:pStyle w:val="1211"/>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1510"/>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3583"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148"/>
              <w:jc w:val="center"/>
              <w:spacing w:line="560" w:lineRule="exact"/>
              <w:rPr>
                <w:rFonts w:hint="eastAsia" w:ascii="宋体" w:hAnsi="宋体" w:eastAsia="宋体" w:cs="宋体"/>
                <w:sz w:val="28"/>
              </w:rPr>
            </w:pPr>
            <w:r>
              <w:rPr>
                <w:rFonts w:hint="eastAsia" w:ascii="宋体" w:hAnsi="宋体" w:eastAsia="宋体" w:cs="宋体"/>
                <w:sz w:val="28"/>
              </w:rPr>
            </w:r>
            <w:r/>
          </w:p>
        </w:tc>
      </w:tr>
    </w:tbl>
    <w:p>
      <w:pPr>
        <w:ind w:firstLine="210"/>
        <w:spacing w:line="480" w:lineRule="exact"/>
        <w:rPr>
          <w:rFonts w:hint="eastAsia" w:ascii="宋体" w:hAnsi="宋体" w:eastAsia="宋体" w:cs="宋体"/>
          <w:bCs/>
          <w:sz w:val="24"/>
        </w:rPr>
      </w:pPr>
      <w:r>
        <w:rPr>
          <w:rFonts w:hint="eastAsia" w:ascii="宋体" w:hAnsi="宋体" w:eastAsia="宋体" w:cs="宋体"/>
          <w:bCs/>
          <w:sz w:val="24"/>
        </w:rPr>
        <w:t xml:space="preserve">注：1.请填写此表，并按要求上传业绩资料电子件。</w:t>
      </w:r>
      <w:r/>
    </w:p>
    <w:p>
      <w:pPr>
        <w:pStyle w:val="908"/>
        <w:rPr>
          <w:rFonts w:hint="eastAsia" w:ascii="宋体" w:hAnsi="宋体" w:eastAsia="宋体" w:cs="宋体"/>
        </w:rPr>
        <w:outlineLvl w:val="1"/>
      </w:pPr>
      <w:r/>
      <w:bookmarkStart w:id="201" w:name="_Toc26048"/>
      <w:r/>
      <w:bookmarkStart w:id="202" w:name="_Toc9275"/>
      <w:r>
        <w:rPr>
          <w:rFonts w:hint="eastAsia" w:ascii="宋体" w:hAnsi="宋体" w:eastAsia="宋体" w:cs="宋体"/>
          <w:sz w:val="32"/>
          <w:szCs w:val="32"/>
        </w:rPr>
        <w:br w:type="page" w:clear="all"/>
      </w:r>
      <w:r>
        <w:rPr>
          <w:rFonts w:hint="eastAsia" w:ascii="宋体" w:hAnsi="宋体" w:eastAsia="宋体" w:cs="宋体"/>
          <w:sz w:val="32"/>
          <w:szCs w:val="32"/>
          <w:lang w:val="en-US" w:eastAsia="zh-CN"/>
        </w:rPr>
        <w:t xml:space="preserve">九、</w:t>
      </w:r>
      <w:r>
        <w:rPr>
          <w:rFonts w:hint="eastAsia" w:ascii="宋体" w:hAnsi="宋体" w:eastAsia="宋体" w:cs="宋体"/>
        </w:rPr>
        <w:t xml:space="preserve">考核标准承诺</w:t>
      </w:r>
      <w:r/>
    </w:p>
    <w:p>
      <w:pPr>
        <w:pStyle w:val="1137"/>
        <w:rPr>
          <w:rFonts w:hint="eastAsia" w:ascii="宋体" w:hAnsi="宋体" w:eastAsia="宋体" w:cs="宋体"/>
        </w:rPr>
      </w:pPr>
      <w:r>
        <w:rPr>
          <w:rFonts w:hint="eastAsia" w:ascii="宋体" w:hAnsi="宋体" w:eastAsia="宋体" w:cs="宋体"/>
        </w:rPr>
      </w:r>
      <w:r/>
    </w:p>
    <w:p>
      <w:pPr>
        <w:pStyle w:val="1167"/>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pStyle w:val="1168"/>
        <w:spacing w:before="10" w:after="10" w:line="600" w:lineRule="exact"/>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宿迁市公安局</w:t>
      </w:r>
      <w:r>
        <w:rPr>
          <w:rFonts w:hint="eastAsia" w:ascii="宋体" w:hAnsi="宋体" w:eastAsia="宋体" w:cs="宋体"/>
          <w:sz w:val="24"/>
          <w:szCs w:val="24"/>
          <w:u w:val="single"/>
        </w:rPr>
        <w:t xml:space="preserve">：</w:t>
      </w:r>
      <w:r/>
    </w:p>
    <w:p>
      <w:pPr>
        <w:ind w:firstLine="561"/>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Cs/>
          <w:sz w:val="24"/>
          <w:szCs w:val="24"/>
        </w:rPr>
        <w:t xml:space="preserve">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w:t>
      </w:r>
      <w:r>
        <w:rPr>
          <w:rFonts w:hint="eastAsia" w:ascii="宋体" w:hAnsi="宋体" w:eastAsia="宋体" w:cs="宋体"/>
          <w:color w:val="000000"/>
          <w:sz w:val="24"/>
          <w:szCs w:val="24"/>
        </w:rPr>
        <w:t xml:space="preserve">招标文件相关要求，承诺如下：完全响应本项目采购需求“考核标准”，如我单位中标，将按照响应内容进行履约。如我单位投标文件的响应方案优于采购需求，将按投标文件履约。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after="200" w:line="499" w:lineRule="atLeast"/>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r>
      <w:r/>
    </w:p>
    <w:p>
      <w:pPr>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                                                     单位名称（盖CA电子公章）：</w:t>
      </w:r>
      <w:r/>
    </w:p>
    <w:p>
      <w:pPr>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 </w:t>
      </w:r>
      <w:r/>
    </w:p>
    <w:p>
      <w:pPr>
        <w:jc w:val="center"/>
        <w:spacing w:after="200"/>
        <w:rPr>
          <w:rFonts w:hint="eastAsia" w:ascii="宋体" w:hAnsi="宋体" w:eastAsia="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0"/>
          <w:szCs w:val="20"/>
        </w:rPr>
      </w:r>
      <w:r/>
    </w:p>
    <w:p>
      <w:pPr>
        <w:pStyle w:val="908"/>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908"/>
        <w:rPr>
          <w:rFonts w:hint="default" w:ascii="宋体" w:hAnsi="宋体" w:eastAsia="宋体" w:cs="宋体"/>
          <w:lang w:val="en-US" w:eastAsia="zh-CN"/>
        </w:rPr>
        <w:outlineLvl w:val="1"/>
      </w:pPr>
      <w:r>
        <w:rPr>
          <w:rFonts w:hint="eastAsia" w:ascii="宋体" w:hAnsi="宋体" w:eastAsia="宋体" w:cs="宋体"/>
          <w:lang w:val="en-US" w:eastAsia="zh-CN"/>
        </w:rPr>
        <w:t xml:space="preserve">十、停车场场地承诺</w:t>
      </w:r>
      <w:r/>
    </w:p>
    <w:p>
      <w:pPr>
        <w:ind w:firstLine="561"/>
        <w:spacing w:line="500" w:lineRule="exac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r>
      <w:r/>
    </w:p>
    <w:p>
      <w:pPr>
        <w:pStyle w:val="1122"/>
        <w:ind w:firstLine="442"/>
        <w:spacing w:line="480" w:lineRule="exact"/>
        <w:rPr>
          <w:rFonts w:hint="eastAsia" w:ascii="宋体" w:hAnsi="宋体" w:eastAsia="宋体" w:cs="宋体"/>
          <w:sz w:val="32"/>
          <w:lang w:val="en-US" w:eastAsia="zh-CN"/>
        </w:rPr>
      </w:pPr>
      <w:r>
        <w:rPr>
          <w:rFonts w:hint="eastAsia" w:ascii="宋体" w:hAnsi="宋体" w:eastAsia="宋体" w:cs="宋体"/>
          <w:sz w:val="32"/>
          <w:lang w:val="en-US" w:eastAsia="zh-CN"/>
        </w:rPr>
        <w:t xml:space="preserve">根据采购需求要求提供，格式自拟</w:t>
      </w:r>
      <w:r/>
    </w:p>
    <w:p>
      <w:pPr>
        <w:spacing w:line="480" w:lineRule="exact"/>
        <w:rPr>
          <w:rFonts w:hint="eastAsia" w:ascii="宋体" w:hAnsi="宋体" w:eastAsia="宋体" w:cs="宋体"/>
          <w:sz w:val="32"/>
          <w:szCs w:val="32"/>
          <w:lang w:val="en-US" w:eastAsia="zh-CN"/>
        </w:rPr>
        <w:outlineLvl w:val="1"/>
      </w:pPr>
      <w:r>
        <w:rPr>
          <w:rFonts w:hint="eastAsia" w:ascii="宋体" w:hAnsi="宋体" w:eastAsia="宋体" w:cs="宋体"/>
          <w:sz w:val="32"/>
          <w:szCs w:val="32"/>
          <w:lang w:val="en-US" w:eastAsia="zh-CN"/>
        </w:rPr>
      </w:r>
      <w:r/>
    </w:p>
    <w:p>
      <w:pPr>
        <w:spacing w:line="480" w:lineRule="exact"/>
        <w:rPr>
          <w:rFonts w:hint="eastAsia" w:ascii="宋体" w:hAnsi="宋体" w:eastAsia="宋体" w:cs="宋体"/>
          <w:sz w:val="32"/>
          <w:szCs w:val="32"/>
          <w:lang w:val="en-US" w:eastAsia="zh-CN"/>
        </w:rPr>
        <w:outlineLvl w:val="1"/>
      </w:pPr>
      <w:r>
        <w:rPr>
          <w:rFonts w:hint="eastAsia" w:ascii="宋体" w:hAnsi="宋体" w:eastAsia="宋体" w:cs="宋体"/>
          <w:sz w:val="32"/>
          <w:szCs w:val="32"/>
          <w:lang w:val="en-US" w:eastAsia="zh-CN"/>
        </w:rPr>
      </w:r>
      <w:r/>
    </w:p>
    <w:p>
      <w:pPr>
        <w:pStyle w:val="908"/>
        <w:rPr>
          <w:rFonts w:hint="eastAsia" w:ascii="宋体" w:hAnsi="宋体" w:eastAsia="宋体" w:cs="宋体"/>
          <w:b/>
          <w:lang w:val="en-US" w:eastAsia="zh-CN"/>
        </w:rPr>
        <w:outlineLvl w:val="1"/>
      </w:pPr>
      <w:r>
        <w:rPr>
          <w:rFonts w:hint="eastAsia" w:ascii="宋体" w:hAnsi="宋体" w:eastAsia="宋体" w:cs="宋体"/>
          <w:b/>
          <w:lang w:val="en-US" w:eastAsia="zh-CN"/>
        </w:rPr>
      </w:r>
      <w:r/>
    </w:p>
    <w:p>
      <w:pPr>
        <w:pStyle w:val="908"/>
        <w:rPr>
          <w:rFonts w:hint="eastAsia" w:ascii="宋体" w:hAnsi="宋体" w:eastAsia="宋体" w:cs="宋体"/>
          <w:lang w:val="en-US" w:eastAsia="zh-CN"/>
        </w:rPr>
        <w:outlineLvl w:val="1"/>
      </w:pPr>
      <w:r>
        <w:rPr>
          <w:rFonts w:hint="eastAsia" w:ascii="宋体" w:hAnsi="宋体" w:eastAsia="宋体" w:cs="宋体"/>
          <w:lang w:val="en-US" w:eastAsia="zh-CN"/>
        </w:rPr>
        <w:t xml:space="preserve">十一、投标所需其他材料</w:t>
      </w:r>
      <w:bookmarkEnd w:id="201"/>
      <w:r/>
      <w:bookmarkEnd w:id="202"/>
      <w:r/>
      <w:r/>
    </w:p>
    <w:p>
      <w:pPr>
        <w:pStyle w:val="1151"/>
        <w:ind w:firstLine="420"/>
        <w:spacing w:line="480" w:lineRule="exact"/>
        <w:rPr>
          <w:rFonts w:hint="eastAsia" w:ascii="宋体" w:hAnsi="宋体" w:eastAsia="宋体" w:cs="宋体"/>
          <w:sz w:val="24"/>
          <w:szCs w:val="24"/>
        </w:rPr>
      </w:pPr>
      <w:r>
        <w:rPr>
          <w:rFonts w:hint="eastAsia" w:ascii="宋体" w:hAnsi="宋体" w:eastAsia="宋体" w:cs="宋体"/>
          <w:sz w:val="24"/>
          <w:szCs w:val="24"/>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6"/>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v:textbox>
            </v:shape>
          </w:pict>
        </mc:Fallback>
      </mc:AlternateContent>
    </w:r>
    <w:r/>
  </w:p>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86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3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1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59"/>
    <w:uiPriority w:val="0"/>
    <w:qFormat/>
    <w:pPr>
      <w:jc w:val="both"/>
      <w:widowControl w:val="off"/>
    </w:pPr>
    <w:rPr>
      <w:rFonts w:hint="default" w:ascii="Calibri" w:hAnsi="Calibri" w:eastAsia="宋体" w:cs="Times New Roman"/>
      <w:sz w:val="21"/>
      <w:szCs w:val="22"/>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name w:val="List Paragraph"/>
    <w:basedOn w:val="77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paragraph" w:styleId="811">
    <w:name w:val="Quote"/>
    <w:basedOn w:val="776"/>
    <w:next w:val="776"/>
    <w:uiPriority w:val="29"/>
    <w:qFormat/>
    <w:pPr>
      <w:ind w:left="720" w:right="720"/>
    </w:pPr>
    <w:rPr>
      <w:i/>
    </w:rPr>
  </w:style>
  <w:style w:type="paragraph" w:styleId="812">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3" w:customStyle="1">
    <w:name w:val="标题 11"/>
    <w:basedOn w:val="776"/>
    <w:next w:val="776"/>
    <w:link w:val="830"/>
    <w:uiPriority w:val="0"/>
    <w:qFormat/>
    <w:pPr>
      <w:keepLines/>
      <w:keepNext/>
      <w:spacing w:before="480" w:after="200"/>
      <w:outlineLvl w:val="0"/>
    </w:pPr>
    <w:rPr>
      <w:rFonts w:ascii="Arial" w:hAnsi="Arial" w:eastAsia="Arial" w:cs="Arial"/>
      <w:sz w:val="40"/>
      <w:szCs w:val="40"/>
    </w:rPr>
  </w:style>
  <w:style w:type="paragraph" w:styleId="814" w:customStyle="1">
    <w:name w:val="标题 211"/>
    <w:basedOn w:val="776"/>
    <w:next w:val="815"/>
    <w:link w:val="831"/>
    <w:uiPriority w:val="0"/>
    <w:qFormat/>
    <w:pPr>
      <w:keepLines/>
      <w:keepNext/>
      <w:spacing w:before="260" w:after="260" w:line="413" w:lineRule="auto"/>
      <w:outlineLvl w:val="1"/>
    </w:pPr>
    <w:rPr>
      <w:rFonts w:ascii="Arial" w:hAnsi="Arial" w:eastAsia="黑体"/>
      <w:b/>
      <w:sz w:val="32"/>
      <w:szCs w:val="20"/>
    </w:rPr>
  </w:style>
  <w:style w:type="paragraph" w:styleId="815" w:customStyle="1">
    <w:name w:val="正文缩进11"/>
    <w:basedOn w:val="776"/>
    <w:link w:val="832"/>
    <w:uiPriority w:val="0"/>
    <w:qFormat/>
    <w:pPr>
      <w:ind w:firstLine="420"/>
    </w:pPr>
    <w:rPr>
      <w:rFonts w:ascii="宋体"/>
      <w:color w:val="000000"/>
      <w:sz w:val="24"/>
      <w:szCs w:val="20"/>
    </w:rPr>
  </w:style>
  <w:style w:type="paragraph" w:styleId="816" w:customStyle="1">
    <w:name w:val="标题 311"/>
    <w:basedOn w:val="817"/>
    <w:next w:val="818"/>
    <w:link w:val="833"/>
    <w:uiPriority w:val="0"/>
    <w:qFormat/>
    <w:pPr>
      <w:keepLines/>
      <w:keepNext/>
      <w:spacing w:before="320" w:after="200"/>
      <w:outlineLvl w:val="2"/>
    </w:pPr>
    <w:rPr>
      <w:rFonts w:ascii="Arial" w:hAnsi="Arial" w:eastAsia="Arial" w:cs="Arial"/>
      <w:sz w:val="30"/>
      <w:szCs w:val="30"/>
    </w:rPr>
  </w:style>
  <w:style w:type="paragraph" w:styleId="817" w:customStyle="1">
    <w:name w:val="Normal1"/>
    <w:next w:val="816"/>
    <w:uiPriority w:val="0"/>
    <w:qFormat/>
    <w:pPr>
      <w:jc w:val="both"/>
      <w:widowControl w:val="off"/>
    </w:pPr>
    <w:rPr>
      <w:rFonts w:hint="default" w:ascii="Calibri" w:hAnsi="Calibri" w:eastAsia="宋体" w:cs="Times New Roman"/>
      <w:sz w:val="21"/>
      <w:szCs w:val="22"/>
      <w:lang w:val="en-US" w:eastAsia="zh-CN" w:bidi="ar-SA"/>
    </w:rPr>
  </w:style>
  <w:style w:type="paragraph" w:styleId="818" w:customStyle="1">
    <w:name w:val="Normal_19"/>
    <w:next w:val="819"/>
    <w:uiPriority w:val="0"/>
    <w:qFormat/>
    <w:rPr>
      <w:rFonts w:hint="default" w:ascii="黑体" w:hAnsi="黑体" w:eastAsia="黑体" w:cs="黑体"/>
      <w:b/>
      <w:sz w:val="32"/>
      <w:szCs w:val="24"/>
      <w:lang w:val="en-US" w:eastAsia="zh-CN" w:bidi="ar-SA"/>
    </w:rPr>
  </w:style>
  <w:style w:type="paragraph" w:styleId="819" w:customStyle="1">
    <w:name w:val="Normal11"/>
    <w:next w:val="820"/>
    <w:uiPriority w:val="0"/>
    <w:qFormat/>
    <w:pPr>
      <w:jc w:val="both"/>
      <w:widowControl w:val="off"/>
    </w:pPr>
    <w:rPr>
      <w:rFonts w:hint="default" w:ascii="Times New Roman" w:hAnsi="Times New Roman" w:eastAsia="宋体" w:cs="Times New Roman"/>
      <w:szCs w:val="21"/>
      <w:lang w:val="en-US" w:eastAsia="zh-CN" w:bidi="ar-SA"/>
    </w:rPr>
  </w:style>
  <w:style w:type="paragraph" w:styleId="820" w:customStyle="1">
    <w:name w:val="Body Text First Indent1"/>
    <w:basedOn w:val="821"/>
    <w:uiPriority w:val="99"/>
    <w:unhideWhenUsed/>
    <w:qFormat/>
    <w:pPr>
      <w:ind w:firstLine="420"/>
    </w:pPr>
  </w:style>
  <w:style w:type="paragraph" w:styleId="821" w:customStyle="1">
    <w:name w:val="Body Text1"/>
    <w:basedOn w:val="819"/>
    <w:uiPriority w:val="99"/>
    <w:unhideWhenUsed/>
    <w:qFormat/>
    <w:pPr>
      <w:spacing w:after="120"/>
    </w:pPr>
  </w:style>
  <w:style w:type="paragraph" w:styleId="822" w:customStyle="1">
    <w:name w:val="标题 411"/>
    <w:basedOn w:val="776"/>
    <w:next w:val="776"/>
    <w:link w:val="834"/>
    <w:uiPriority w:val="0"/>
    <w:qFormat/>
    <w:pPr>
      <w:jc w:val="center"/>
      <w:keepNext/>
      <w:outlineLvl w:val="3"/>
    </w:pPr>
    <w:rPr>
      <w:rFonts w:eastAsia="新宋体"/>
      <w:sz w:val="30"/>
      <w:szCs w:val="21"/>
    </w:rPr>
  </w:style>
  <w:style w:type="paragraph" w:styleId="823" w:customStyle="1">
    <w:name w:val="标题 51"/>
    <w:basedOn w:val="776"/>
    <w:next w:val="776"/>
    <w:link w:val="835"/>
    <w:uiPriority w:val="0"/>
    <w:qFormat/>
    <w:pPr>
      <w:keepLines/>
      <w:keepNext/>
      <w:spacing w:before="320" w:after="200"/>
      <w:outlineLvl w:val="4"/>
    </w:pPr>
    <w:rPr>
      <w:rFonts w:ascii="Arial" w:hAnsi="Arial" w:eastAsia="Arial" w:cs="Arial"/>
      <w:b/>
      <w:bCs/>
      <w:sz w:val="24"/>
      <w:szCs w:val="24"/>
    </w:rPr>
  </w:style>
  <w:style w:type="paragraph" w:styleId="824" w:customStyle="1">
    <w:name w:val="标题 61"/>
    <w:basedOn w:val="776"/>
    <w:next w:val="776"/>
    <w:link w:val="836"/>
    <w:uiPriority w:val="0"/>
    <w:qFormat/>
    <w:pPr>
      <w:keepLines/>
      <w:keepNext/>
      <w:spacing w:before="320" w:after="200"/>
      <w:outlineLvl w:val="5"/>
    </w:pPr>
    <w:rPr>
      <w:rFonts w:ascii="Arial" w:hAnsi="Arial" w:eastAsia="Arial" w:cs="Arial"/>
      <w:b/>
      <w:bCs/>
      <w:sz w:val="22"/>
    </w:rPr>
  </w:style>
  <w:style w:type="paragraph" w:styleId="825" w:customStyle="1">
    <w:name w:val="标题 71"/>
    <w:basedOn w:val="776"/>
    <w:next w:val="776"/>
    <w:link w:val="837"/>
    <w:uiPriority w:val="0"/>
    <w:qFormat/>
    <w:pPr>
      <w:keepLines/>
      <w:keepNext/>
      <w:spacing w:before="320" w:after="200"/>
      <w:outlineLvl w:val="6"/>
    </w:pPr>
    <w:rPr>
      <w:rFonts w:ascii="Arial" w:hAnsi="Arial" w:eastAsia="Arial" w:cs="Arial"/>
      <w:b/>
      <w:bCs/>
      <w:i/>
      <w:iCs/>
      <w:sz w:val="22"/>
    </w:rPr>
  </w:style>
  <w:style w:type="paragraph" w:styleId="826" w:customStyle="1">
    <w:name w:val="标题 81"/>
    <w:basedOn w:val="776"/>
    <w:next w:val="776"/>
    <w:link w:val="838"/>
    <w:uiPriority w:val="0"/>
    <w:qFormat/>
    <w:pPr>
      <w:keepLines/>
      <w:keepNext/>
      <w:spacing w:before="320" w:after="200"/>
      <w:outlineLvl w:val="7"/>
    </w:pPr>
    <w:rPr>
      <w:rFonts w:ascii="Arial" w:hAnsi="Arial" w:eastAsia="Arial" w:cs="Arial"/>
      <w:i/>
      <w:iCs/>
      <w:sz w:val="22"/>
    </w:rPr>
  </w:style>
  <w:style w:type="paragraph" w:styleId="827" w:customStyle="1">
    <w:name w:val="标题 91"/>
    <w:basedOn w:val="776"/>
    <w:next w:val="776"/>
    <w:link w:val="839"/>
    <w:uiPriority w:val="0"/>
    <w:qFormat/>
    <w:pPr>
      <w:keepLines/>
      <w:keepNext/>
      <w:spacing w:before="320" w:after="200"/>
      <w:outlineLvl w:val="8"/>
    </w:pPr>
    <w:rPr>
      <w:rFonts w:ascii="Arial" w:hAnsi="Arial" w:eastAsia="Arial" w:cs="Arial"/>
      <w:i/>
      <w:iCs/>
      <w:szCs w:val="21"/>
    </w:rPr>
  </w:style>
  <w:style w:type="character" w:styleId="828" w:customStyle="1">
    <w:name w:val="默认段落字体1"/>
    <w:link w:val="776"/>
    <w:uiPriority w:val="1"/>
    <w:unhideWhenUsed/>
    <w:qFormat/>
  </w:style>
  <w:style w:type="table" w:styleId="829" w:customStyle="1">
    <w:name w:val="普通表格1"/>
    <w:uiPriority w:val="99"/>
    <w:unhideWhenUsed/>
    <w:qFormat/>
    <w:tblPr/>
  </w:style>
  <w:style w:type="character" w:styleId="830" w:customStyle="1">
    <w:name w:val="标题 1 字符"/>
    <w:link w:val="813"/>
    <w:uiPriority w:val="0"/>
    <w:qFormat/>
    <w:rPr>
      <w:rFonts w:ascii="Arial" w:hAnsi="Arial" w:eastAsia="Arial" w:cs="Arial"/>
      <w:sz w:val="40"/>
      <w:szCs w:val="40"/>
    </w:rPr>
  </w:style>
  <w:style w:type="character" w:styleId="831" w:customStyle="1">
    <w:name w:val="标题 2 字符"/>
    <w:link w:val="814"/>
    <w:uiPriority w:val="0"/>
    <w:qFormat/>
    <w:rPr>
      <w:rFonts w:ascii="Arial" w:hAnsi="Arial" w:eastAsia="Arial" w:cs="Arial"/>
      <w:sz w:val="34"/>
    </w:rPr>
  </w:style>
  <w:style w:type="character" w:styleId="832" w:customStyle="1">
    <w:name w:val="正文缩进 字符"/>
    <w:link w:val="815"/>
    <w:uiPriority w:val="0"/>
    <w:qFormat/>
    <w:rPr>
      <w:rFonts w:ascii="宋体" w:hAnsi="Calibri"/>
      <w:color w:val="000000"/>
      <w:sz w:val="24"/>
    </w:rPr>
  </w:style>
  <w:style w:type="character" w:styleId="833" w:customStyle="1">
    <w:name w:val="标题 3 字符"/>
    <w:link w:val="816"/>
    <w:uiPriority w:val="0"/>
    <w:qFormat/>
    <w:rPr>
      <w:rFonts w:ascii="Arial" w:hAnsi="Arial" w:eastAsia="Arial" w:cs="Arial"/>
      <w:sz w:val="30"/>
      <w:szCs w:val="30"/>
    </w:rPr>
  </w:style>
  <w:style w:type="character" w:styleId="834" w:customStyle="1">
    <w:name w:val="标题 4 字符"/>
    <w:link w:val="822"/>
    <w:uiPriority w:val="0"/>
    <w:qFormat/>
    <w:rPr>
      <w:rFonts w:ascii="Arial" w:hAnsi="Arial" w:eastAsia="Arial" w:cs="Arial"/>
      <w:b/>
      <w:bCs/>
      <w:sz w:val="26"/>
      <w:szCs w:val="26"/>
    </w:rPr>
  </w:style>
  <w:style w:type="character" w:styleId="835" w:customStyle="1">
    <w:name w:val="标题 5 字符"/>
    <w:link w:val="823"/>
    <w:uiPriority w:val="0"/>
    <w:qFormat/>
    <w:rPr>
      <w:rFonts w:ascii="Arial" w:hAnsi="Arial" w:eastAsia="Arial" w:cs="Arial"/>
      <w:b/>
      <w:bCs/>
      <w:sz w:val="24"/>
      <w:szCs w:val="24"/>
    </w:rPr>
  </w:style>
  <w:style w:type="character" w:styleId="836" w:customStyle="1">
    <w:name w:val="标题 6 字符"/>
    <w:link w:val="824"/>
    <w:uiPriority w:val="0"/>
    <w:qFormat/>
    <w:rPr>
      <w:rFonts w:ascii="Arial" w:hAnsi="Arial" w:eastAsia="Arial" w:cs="Arial"/>
      <w:b/>
      <w:bCs/>
      <w:sz w:val="22"/>
      <w:szCs w:val="22"/>
    </w:rPr>
  </w:style>
  <w:style w:type="character" w:styleId="837" w:customStyle="1">
    <w:name w:val="标题 7 字符"/>
    <w:link w:val="825"/>
    <w:uiPriority w:val="0"/>
    <w:qFormat/>
    <w:rPr>
      <w:rFonts w:ascii="Arial" w:hAnsi="Arial" w:eastAsia="Arial" w:cs="Arial"/>
      <w:b/>
      <w:bCs/>
      <w:i/>
      <w:iCs/>
      <w:sz w:val="22"/>
      <w:szCs w:val="22"/>
    </w:rPr>
  </w:style>
  <w:style w:type="character" w:styleId="838" w:customStyle="1">
    <w:name w:val="标题 8 字符"/>
    <w:link w:val="826"/>
    <w:uiPriority w:val="0"/>
    <w:qFormat/>
    <w:rPr>
      <w:rFonts w:ascii="Arial" w:hAnsi="Arial" w:eastAsia="Arial" w:cs="Arial"/>
      <w:i/>
      <w:iCs/>
      <w:sz w:val="22"/>
      <w:szCs w:val="22"/>
    </w:rPr>
  </w:style>
  <w:style w:type="character" w:styleId="839" w:customStyle="1">
    <w:name w:val="标题 9 字符"/>
    <w:link w:val="827"/>
    <w:uiPriority w:val="0"/>
    <w:qFormat/>
    <w:rPr>
      <w:rFonts w:ascii="Arial" w:hAnsi="Arial" w:eastAsia="Arial" w:cs="Arial"/>
      <w:i/>
      <w:iCs/>
      <w:sz w:val="21"/>
      <w:szCs w:val="21"/>
    </w:rPr>
  </w:style>
  <w:style w:type="paragraph" w:styleId="840" w:customStyle="1">
    <w:name w:val="列表 31"/>
    <w:basedOn w:val="776"/>
    <w:uiPriority w:val="0"/>
    <w:qFormat/>
    <w:pPr>
      <w:ind w:left="100" w:hanging="200"/>
    </w:pPr>
    <w:rPr>
      <w:rFonts w:ascii="Times New Roman" w:hAnsi="Times New Roman"/>
      <w:szCs w:val="21"/>
    </w:rPr>
  </w:style>
  <w:style w:type="paragraph" w:styleId="841" w:customStyle="1">
    <w:name w:val="目录 71"/>
    <w:basedOn w:val="776"/>
    <w:next w:val="776"/>
    <w:uiPriority w:val="0"/>
    <w:unhideWhenUsed/>
    <w:qFormat/>
    <w:pPr>
      <w:ind w:left="1701"/>
      <w:spacing w:after="57"/>
    </w:pPr>
  </w:style>
  <w:style w:type="paragraph" w:styleId="842" w:customStyle="1">
    <w:name w:val="题注1"/>
    <w:basedOn w:val="776"/>
    <w:next w:val="776"/>
    <w:uiPriority w:val="35"/>
    <w:qFormat/>
    <w:pPr>
      <w:spacing w:line="276" w:lineRule="auto"/>
    </w:pPr>
    <w:rPr>
      <w:b/>
      <w:bCs/>
      <w:color w:val="5b9bd5"/>
      <w:sz w:val="18"/>
      <w:szCs w:val="18"/>
    </w:rPr>
  </w:style>
  <w:style w:type="paragraph" w:styleId="843" w:customStyle="1">
    <w:name w:val="文档结构图1"/>
    <w:basedOn w:val="776"/>
    <w:link w:val="844"/>
    <w:uiPriority w:val="0"/>
    <w:semiHidden/>
    <w:qFormat/>
    <w:pPr>
      <w:shd w:val="clear" w:color="auto" w:fill="000080"/>
    </w:pPr>
    <w:rPr>
      <w:rFonts w:ascii="Times New Roman" w:hAnsi="Times New Roman"/>
      <w:szCs w:val="21"/>
    </w:rPr>
  </w:style>
  <w:style w:type="character" w:styleId="844" w:customStyle="1">
    <w:name w:val="文档结构图 字符"/>
    <w:link w:val="843"/>
    <w:uiPriority w:val="0"/>
    <w:semiHidden/>
    <w:qFormat/>
    <w:rPr>
      <w:sz w:val="21"/>
      <w:szCs w:val="21"/>
      <w:shd w:val="clear" w:color="auto" w:fill="000080"/>
    </w:rPr>
  </w:style>
  <w:style w:type="paragraph" w:styleId="845" w:customStyle="1">
    <w:name w:val="批注文字1"/>
    <w:basedOn w:val="776"/>
    <w:link w:val="846"/>
    <w:uiPriority w:val="0"/>
    <w:semiHidden/>
    <w:qFormat/>
    <w:pPr>
      <w:jc w:val="left"/>
    </w:pPr>
    <w:rPr>
      <w:rFonts w:ascii="Times New Roman" w:hAnsi="Times New Roman"/>
      <w:szCs w:val="21"/>
    </w:rPr>
  </w:style>
  <w:style w:type="character" w:styleId="846" w:customStyle="1">
    <w:name w:val="批注文字 字符"/>
    <w:link w:val="845"/>
    <w:uiPriority w:val="0"/>
    <w:semiHidden/>
    <w:qFormat/>
    <w:rPr>
      <w:sz w:val="21"/>
      <w:szCs w:val="21"/>
    </w:rPr>
  </w:style>
  <w:style w:type="paragraph" w:styleId="847" w:customStyle="1">
    <w:name w:val="正文文本 31"/>
    <w:basedOn w:val="776"/>
    <w:link w:val="848"/>
    <w:uiPriority w:val="0"/>
    <w:qFormat/>
    <w:rPr>
      <w:rFonts w:ascii="仿宋_GB2312" w:hAnsi="Arial" w:eastAsia="仿宋_GB2312"/>
      <w:sz w:val="32"/>
      <w:szCs w:val="32"/>
    </w:rPr>
  </w:style>
  <w:style w:type="character" w:styleId="848" w:customStyle="1">
    <w:name w:val="正文文本 3 字符"/>
    <w:link w:val="847"/>
    <w:uiPriority w:val="0"/>
    <w:qFormat/>
    <w:rPr>
      <w:rFonts w:ascii="仿宋_GB2312" w:hAnsi="Arial" w:eastAsia="仿宋_GB2312"/>
      <w:sz w:val="32"/>
      <w:szCs w:val="32"/>
    </w:rPr>
  </w:style>
  <w:style w:type="paragraph" w:styleId="849" w:customStyle="1">
    <w:name w:val="正文文本11"/>
    <w:basedOn w:val="776"/>
    <w:next w:val="776"/>
    <w:uiPriority w:val="0"/>
    <w:semiHidden/>
    <w:qFormat/>
    <w:rPr>
      <w:rFonts w:ascii="仿宋" w:hAnsi="仿宋" w:eastAsia="仿宋" w:cs="仿宋"/>
      <w:sz w:val="32"/>
      <w:szCs w:val="32"/>
      <w:lang w:val="en-US" w:eastAsia="en-US" w:bidi="ar-SA"/>
    </w:rPr>
  </w:style>
  <w:style w:type="paragraph" w:styleId="850" w:customStyle="1">
    <w:name w:val="正文文本缩进11"/>
    <w:basedOn w:val="776"/>
    <w:link w:val="851"/>
    <w:uiPriority w:val="0"/>
    <w:qFormat/>
    <w:pPr>
      <w:ind w:firstLine="225"/>
    </w:pPr>
    <w:rPr>
      <w:rFonts w:ascii="仿宋_GB2312" w:eastAsia="仿宋_GB2312"/>
      <w:sz w:val="32"/>
    </w:rPr>
  </w:style>
  <w:style w:type="character" w:styleId="851" w:customStyle="1">
    <w:name w:val="正文文本缩进 字符1"/>
    <w:link w:val="850"/>
    <w:uiPriority w:val="0"/>
    <w:qFormat/>
    <w:rPr>
      <w:rFonts w:ascii="仿宋_GB2312" w:hAnsi="Calibri" w:eastAsia="仿宋_GB2312"/>
      <w:sz w:val="32"/>
      <w:szCs w:val="22"/>
    </w:rPr>
  </w:style>
  <w:style w:type="paragraph" w:styleId="852" w:customStyle="1">
    <w:name w:val="列表 21"/>
    <w:basedOn w:val="776"/>
    <w:uiPriority w:val="0"/>
    <w:qFormat/>
    <w:pPr>
      <w:ind w:left="100" w:hanging="200"/>
    </w:pPr>
    <w:rPr>
      <w:rFonts w:ascii="Times New Roman" w:hAnsi="Times New Roman"/>
      <w:szCs w:val="21"/>
    </w:rPr>
  </w:style>
  <w:style w:type="paragraph" w:styleId="853" w:customStyle="1">
    <w:name w:val="目录 51"/>
    <w:basedOn w:val="776"/>
    <w:next w:val="776"/>
    <w:uiPriority w:val="0"/>
    <w:unhideWhenUsed/>
    <w:qFormat/>
    <w:pPr>
      <w:ind w:left="1134"/>
      <w:spacing w:after="57"/>
    </w:pPr>
  </w:style>
  <w:style w:type="paragraph" w:styleId="854" w:customStyle="1">
    <w:name w:val="目录 31"/>
    <w:basedOn w:val="776"/>
    <w:next w:val="776"/>
    <w:uiPriority w:val="0"/>
    <w:unhideWhenUsed/>
    <w:qFormat/>
    <w:pPr>
      <w:ind w:left="567"/>
      <w:spacing w:after="57"/>
    </w:pPr>
  </w:style>
  <w:style w:type="paragraph" w:styleId="855" w:customStyle="1">
    <w:name w:val="纯文本11"/>
    <w:basedOn w:val="776"/>
    <w:link w:val="856"/>
    <w:uiPriority w:val="0"/>
    <w:qFormat/>
    <w:rPr>
      <w:rFonts w:ascii="宋体" w:hAnsi="Courier New" w:cs="Courier New"/>
      <w:szCs w:val="21"/>
    </w:rPr>
  </w:style>
  <w:style w:type="character" w:styleId="856" w:customStyle="1">
    <w:name w:val="纯文本 字符"/>
    <w:link w:val="855"/>
    <w:uiPriority w:val="0"/>
    <w:qFormat/>
    <w:rPr>
      <w:rFonts w:ascii="宋体" w:hAnsi="Courier New" w:cs="Courier New"/>
      <w:sz w:val="21"/>
      <w:szCs w:val="21"/>
    </w:rPr>
  </w:style>
  <w:style w:type="paragraph" w:styleId="857" w:customStyle="1">
    <w:name w:val="目录 81"/>
    <w:basedOn w:val="776"/>
    <w:next w:val="776"/>
    <w:uiPriority w:val="0"/>
    <w:unhideWhenUsed/>
    <w:qFormat/>
    <w:pPr>
      <w:ind w:left="1984"/>
      <w:spacing w:after="57"/>
    </w:pPr>
  </w:style>
  <w:style w:type="paragraph" w:styleId="858" w:customStyle="1">
    <w:name w:val="日期1"/>
    <w:basedOn w:val="776"/>
    <w:next w:val="776"/>
    <w:link w:val="859"/>
    <w:uiPriority w:val="0"/>
    <w:qFormat/>
    <w:rPr>
      <w:rFonts w:ascii="Times New Roman" w:hAnsi="Times New Roman"/>
      <w:sz w:val="24"/>
      <w:szCs w:val="24"/>
    </w:rPr>
  </w:style>
  <w:style w:type="character" w:styleId="859" w:customStyle="1">
    <w:name w:val="日期 字符"/>
    <w:link w:val="858"/>
    <w:uiPriority w:val="0"/>
    <w:qFormat/>
    <w:rPr>
      <w:sz w:val="24"/>
      <w:szCs w:val="24"/>
    </w:rPr>
  </w:style>
  <w:style w:type="paragraph" w:styleId="860" w:customStyle="1">
    <w:name w:val="正文文本缩进 21"/>
    <w:basedOn w:val="776"/>
    <w:link w:val="861"/>
    <w:uiPriority w:val="0"/>
    <w:qFormat/>
    <w:pPr>
      <w:ind w:left="630" w:firstLine="645"/>
    </w:pPr>
    <w:rPr>
      <w:rFonts w:ascii="Arial" w:hAnsi="Arial" w:eastAsia="仿宋_GB2312" w:cs="Arial"/>
      <w:sz w:val="32"/>
      <w:szCs w:val="32"/>
    </w:rPr>
  </w:style>
  <w:style w:type="character" w:styleId="861" w:customStyle="1">
    <w:name w:val="正文文本缩进 2 字符"/>
    <w:link w:val="860"/>
    <w:uiPriority w:val="0"/>
    <w:qFormat/>
    <w:rPr>
      <w:rFonts w:ascii="Arial" w:hAnsi="Arial" w:eastAsia="仿宋_GB2312" w:cs="Arial"/>
      <w:sz w:val="32"/>
      <w:szCs w:val="32"/>
    </w:rPr>
  </w:style>
  <w:style w:type="paragraph" w:styleId="862" w:customStyle="1">
    <w:name w:val="尾注文本1"/>
    <w:basedOn w:val="776"/>
    <w:link w:val="863"/>
    <w:uiPriority w:val="99"/>
    <w:unhideWhenUsed/>
    <w:qFormat/>
    <w:rPr>
      <w:sz w:val="20"/>
    </w:rPr>
  </w:style>
  <w:style w:type="character" w:styleId="863" w:customStyle="1">
    <w:name w:val="尾注文本 字符"/>
    <w:link w:val="862"/>
    <w:uiPriority w:val="99"/>
    <w:qFormat/>
    <w:rPr>
      <w:sz w:val="20"/>
    </w:rPr>
  </w:style>
  <w:style w:type="paragraph" w:styleId="864" w:customStyle="1">
    <w:name w:val="批注框文本1"/>
    <w:basedOn w:val="776"/>
    <w:link w:val="865"/>
    <w:uiPriority w:val="0"/>
    <w:qFormat/>
    <w:rPr>
      <w:rFonts w:ascii="Times New Roman" w:hAnsi="Times New Roman"/>
      <w:sz w:val="18"/>
      <w:szCs w:val="18"/>
    </w:rPr>
  </w:style>
  <w:style w:type="character" w:styleId="865" w:customStyle="1">
    <w:name w:val="批注框文本 字符"/>
    <w:link w:val="864"/>
    <w:uiPriority w:val="0"/>
    <w:qFormat/>
    <w:rPr>
      <w:sz w:val="18"/>
      <w:szCs w:val="18"/>
    </w:rPr>
  </w:style>
  <w:style w:type="paragraph" w:styleId="866" w:customStyle="1">
    <w:name w:val="页脚11"/>
    <w:basedOn w:val="776"/>
    <w:link w:val="867"/>
    <w:uiPriority w:val="99"/>
    <w:qFormat/>
    <w:pPr>
      <w:jc w:val="left"/>
      <w:tabs>
        <w:tab w:val="center" w:pos="4153" w:leader="none"/>
        <w:tab w:val="right" w:pos="8306" w:leader="none"/>
      </w:tabs>
    </w:pPr>
    <w:rPr>
      <w:sz w:val="18"/>
      <w:szCs w:val="18"/>
    </w:rPr>
  </w:style>
  <w:style w:type="character" w:styleId="867" w:customStyle="1">
    <w:name w:val="页脚 字符"/>
    <w:link w:val="866"/>
    <w:uiPriority w:val="99"/>
    <w:qFormat/>
  </w:style>
  <w:style w:type="paragraph" w:styleId="868" w:customStyle="1">
    <w:name w:val="页眉1"/>
    <w:basedOn w:val="776"/>
    <w:link w:val="869"/>
    <w:uiPriority w:val="0"/>
    <w:qFormat/>
    <w:pPr>
      <w:jc w:val="center"/>
      <w:tabs>
        <w:tab w:val="center" w:pos="4153" w:leader="none"/>
        <w:tab w:val="right" w:pos="8306" w:leader="none"/>
      </w:tabs>
    </w:pPr>
    <w:rPr>
      <w:sz w:val="18"/>
      <w:szCs w:val="18"/>
    </w:rPr>
  </w:style>
  <w:style w:type="character" w:styleId="869" w:customStyle="1">
    <w:name w:val="页眉 字符"/>
    <w:link w:val="868"/>
    <w:uiPriority w:val="0"/>
    <w:qFormat/>
    <w:rPr>
      <w:rFonts w:ascii="Calibri" w:hAnsi="Calibri"/>
      <w:sz w:val="18"/>
      <w:szCs w:val="18"/>
    </w:rPr>
  </w:style>
  <w:style w:type="paragraph" w:styleId="870" w:customStyle="1">
    <w:name w:val="目录 11"/>
    <w:basedOn w:val="776"/>
    <w:next w:val="776"/>
    <w:uiPriority w:val="0"/>
    <w:qFormat/>
    <w:pPr>
      <w:jc w:val="left"/>
      <w:spacing w:before="120" w:after="120"/>
    </w:pPr>
    <w:rPr>
      <w:rFonts w:cs="Calibri"/>
      <w:b/>
      <w:bCs/>
      <w:caps/>
      <w:sz w:val="20"/>
      <w:szCs w:val="20"/>
    </w:rPr>
  </w:style>
  <w:style w:type="paragraph" w:styleId="871" w:customStyle="1">
    <w:name w:val="目录 41"/>
    <w:basedOn w:val="776"/>
    <w:next w:val="776"/>
    <w:uiPriority w:val="0"/>
    <w:unhideWhenUsed/>
    <w:qFormat/>
    <w:pPr>
      <w:ind w:left="850"/>
      <w:spacing w:after="57"/>
    </w:pPr>
  </w:style>
  <w:style w:type="paragraph" w:styleId="872" w:customStyle="1">
    <w:name w:val="副标题1"/>
    <w:basedOn w:val="776"/>
    <w:next w:val="776"/>
    <w:link w:val="873"/>
    <w:uiPriority w:val="11"/>
    <w:qFormat/>
    <w:pPr>
      <w:spacing w:before="200" w:after="200"/>
    </w:pPr>
    <w:rPr>
      <w:sz w:val="24"/>
      <w:szCs w:val="24"/>
    </w:rPr>
  </w:style>
  <w:style w:type="character" w:styleId="873" w:customStyle="1">
    <w:name w:val="副标题 字符"/>
    <w:link w:val="872"/>
    <w:uiPriority w:val="11"/>
    <w:qFormat/>
    <w:rPr>
      <w:sz w:val="24"/>
      <w:szCs w:val="24"/>
    </w:rPr>
  </w:style>
  <w:style w:type="paragraph" w:styleId="874" w:customStyle="1">
    <w:name w:val="列表1"/>
    <w:basedOn w:val="776"/>
    <w:uiPriority w:val="0"/>
    <w:qFormat/>
    <w:pPr>
      <w:ind w:left="200" w:hanging="200"/>
    </w:pPr>
    <w:rPr>
      <w:rFonts w:ascii="Times New Roman" w:hAnsi="Times New Roman"/>
      <w:szCs w:val="21"/>
    </w:rPr>
  </w:style>
  <w:style w:type="paragraph" w:styleId="875" w:customStyle="1">
    <w:name w:val="脚注文本11"/>
    <w:basedOn w:val="776"/>
    <w:link w:val="876"/>
    <w:uiPriority w:val="99"/>
    <w:unhideWhenUsed/>
    <w:qFormat/>
    <w:pPr>
      <w:spacing w:after="40"/>
    </w:pPr>
    <w:rPr>
      <w:sz w:val="18"/>
    </w:rPr>
  </w:style>
  <w:style w:type="character" w:styleId="876" w:customStyle="1">
    <w:name w:val="脚注文本 字符"/>
    <w:link w:val="875"/>
    <w:uiPriority w:val="99"/>
    <w:qFormat/>
    <w:rPr>
      <w:sz w:val="18"/>
    </w:rPr>
  </w:style>
  <w:style w:type="paragraph" w:styleId="877" w:customStyle="1">
    <w:name w:val="目录 61"/>
    <w:basedOn w:val="776"/>
    <w:next w:val="776"/>
    <w:uiPriority w:val="0"/>
    <w:unhideWhenUsed/>
    <w:qFormat/>
    <w:pPr>
      <w:ind w:left="1417"/>
      <w:spacing w:after="57"/>
    </w:pPr>
  </w:style>
  <w:style w:type="paragraph" w:styleId="878" w:customStyle="1">
    <w:name w:val="正文文本缩进 31"/>
    <w:basedOn w:val="776"/>
    <w:link w:val="879"/>
    <w:uiPriority w:val="0"/>
    <w:qFormat/>
    <w:pPr>
      <w:ind w:left="645" w:firstLine="645"/>
    </w:pPr>
    <w:rPr>
      <w:rFonts w:ascii="Arial" w:hAnsi="Arial" w:eastAsia="仿宋_GB2312" w:cs="Arial"/>
      <w:color w:val="ffff00"/>
      <w:sz w:val="32"/>
      <w:szCs w:val="32"/>
    </w:rPr>
  </w:style>
  <w:style w:type="character" w:styleId="879" w:customStyle="1">
    <w:name w:val="正文文本缩进 3 字符"/>
    <w:link w:val="878"/>
    <w:uiPriority w:val="0"/>
    <w:qFormat/>
    <w:rPr>
      <w:rFonts w:ascii="Arial" w:hAnsi="Arial" w:eastAsia="仿宋_GB2312" w:cs="Arial"/>
      <w:color w:val="ffff00"/>
      <w:sz w:val="32"/>
      <w:szCs w:val="32"/>
    </w:rPr>
  </w:style>
  <w:style w:type="paragraph" w:styleId="880" w:customStyle="1">
    <w:name w:val="图表目录1"/>
    <w:basedOn w:val="776"/>
    <w:next w:val="776"/>
    <w:uiPriority w:val="0"/>
    <w:unhideWhenUsed/>
    <w:qFormat/>
  </w:style>
  <w:style w:type="paragraph" w:styleId="881" w:customStyle="1">
    <w:name w:val="目录 21"/>
    <w:basedOn w:val="776"/>
    <w:next w:val="776"/>
    <w:uiPriority w:val="0"/>
    <w:qFormat/>
    <w:pPr>
      <w:ind w:left="210"/>
      <w:jc w:val="left"/>
    </w:pPr>
    <w:rPr>
      <w:rFonts w:cs="Calibri"/>
      <w:smallCaps/>
      <w:sz w:val="20"/>
      <w:szCs w:val="20"/>
    </w:rPr>
  </w:style>
  <w:style w:type="paragraph" w:styleId="882" w:customStyle="1">
    <w:name w:val="目录 91"/>
    <w:basedOn w:val="776"/>
    <w:next w:val="776"/>
    <w:uiPriority w:val="0"/>
    <w:unhideWhenUsed/>
    <w:qFormat/>
    <w:pPr>
      <w:ind w:left="2268"/>
      <w:spacing w:after="57"/>
    </w:pPr>
  </w:style>
  <w:style w:type="paragraph" w:styleId="883" w:customStyle="1">
    <w:name w:val="正文文本 21"/>
    <w:basedOn w:val="776"/>
    <w:link w:val="884"/>
    <w:uiPriority w:val="0"/>
    <w:qFormat/>
    <w:pPr>
      <w:jc w:val="center"/>
      <w:widowControl/>
    </w:pPr>
    <w:rPr>
      <w:rFonts w:ascii="楷体_GB2312" w:hAnsi="Times New Roman" w:eastAsia="楷体_GB2312"/>
      <w:sz w:val="28"/>
      <w:szCs w:val="28"/>
    </w:rPr>
  </w:style>
  <w:style w:type="character" w:styleId="884" w:customStyle="1">
    <w:name w:val="正文文本 2 字符"/>
    <w:link w:val="883"/>
    <w:uiPriority w:val="0"/>
    <w:qFormat/>
    <w:rPr>
      <w:rFonts w:ascii="楷体_GB2312" w:eastAsia="楷体_GB2312"/>
      <w:sz w:val="28"/>
      <w:szCs w:val="28"/>
    </w:rPr>
  </w:style>
  <w:style w:type="paragraph" w:styleId="885" w:customStyle="1">
    <w:name w:val="HTML 预设格式1"/>
    <w:basedOn w:val="776"/>
    <w:link w:val="88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6" w:customStyle="1">
    <w:name w:val="HTML 预设格式 字符"/>
    <w:link w:val="885"/>
    <w:uiPriority w:val="99"/>
    <w:qFormat/>
    <w:rPr>
      <w:rFonts w:ascii="宋体" w:hAnsi="宋体"/>
      <w:sz w:val="24"/>
      <w:szCs w:val="24"/>
    </w:rPr>
  </w:style>
  <w:style w:type="paragraph" w:styleId="887" w:customStyle="1">
    <w:name w:val="普通(网站)111"/>
    <w:basedOn w:val="776"/>
    <w:uiPriority w:val="99"/>
    <w:qFormat/>
    <w:pPr>
      <w:jc w:val="left"/>
      <w:spacing w:before="100" w:beforeAutospacing="1" w:after="100" w:afterAutospacing="1"/>
      <w:widowControl/>
    </w:pPr>
    <w:rPr>
      <w:rFonts w:ascii="宋体" w:hAnsi="宋体" w:cs="宋体"/>
      <w:sz w:val="24"/>
      <w:szCs w:val="24"/>
    </w:rPr>
  </w:style>
  <w:style w:type="paragraph" w:styleId="888" w:customStyle="1">
    <w:name w:val="索引 11"/>
    <w:basedOn w:val="776"/>
    <w:next w:val="776"/>
    <w:uiPriority w:val="0"/>
    <w:semiHidden/>
    <w:qFormat/>
    <w:pPr>
      <w:spacing w:line="240" w:lineRule="atLeast"/>
    </w:pPr>
    <w:rPr>
      <w:rFonts w:ascii="Times New Roman" w:hAnsi="Times New Roman"/>
      <w:b/>
      <w:bCs/>
      <w:szCs w:val="21"/>
    </w:rPr>
  </w:style>
  <w:style w:type="paragraph" w:styleId="889" w:customStyle="1">
    <w:name w:val="标题11"/>
    <w:basedOn w:val="776"/>
    <w:next w:val="776"/>
    <w:link w:val="890"/>
    <w:uiPriority w:val="10"/>
    <w:qFormat/>
    <w:pPr>
      <w:contextualSpacing/>
      <w:spacing w:before="300" w:after="200"/>
    </w:pPr>
    <w:rPr>
      <w:sz w:val="48"/>
      <w:szCs w:val="48"/>
    </w:rPr>
  </w:style>
  <w:style w:type="character" w:styleId="890" w:customStyle="1">
    <w:name w:val="标题 字符"/>
    <w:link w:val="889"/>
    <w:uiPriority w:val="10"/>
    <w:qFormat/>
    <w:rPr>
      <w:sz w:val="48"/>
      <w:szCs w:val="48"/>
    </w:rPr>
  </w:style>
  <w:style w:type="paragraph" w:styleId="891" w:customStyle="1">
    <w:name w:val="批注主题1"/>
    <w:basedOn w:val="845"/>
    <w:next w:val="845"/>
    <w:link w:val="892"/>
    <w:uiPriority w:val="0"/>
    <w:semiHidden/>
    <w:qFormat/>
    <w:rPr>
      <w:b/>
      <w:bCs/>
    </w:rPr>
  </w:style>
  <w:style w:type="character" w:styleId="892" w:customStyle="1">
    <w:name w:val="批注主题 字符"/>
    <w:link w:val="891"/>
    <w:uiPriority w:val="0"/>
    <w:semiHidden/>
    <w:qFormat/>
    <w:rPr>
      <w:b/>
      <w:bCs/>
      <w:sz w:val="21"/>
      <w:szCs w:val="21"/>
    </w:rPr>
  </w:style>
  <w:style w:type="paragraph" w:styleId="893" w:customStyle="1">
    <w:name w:val="正文首行缩进 211"/>
    <w:basedOn w:val="850"/>
    <w:link w:val="894"/>
    <w:uiPriority w:val="0"/>
    <w:qFormat/>
    <w:pPr>
      <w:ind w:firstLine="420"/>
      <w:spacing w:line="360" w:lineRule="auto"/>
    </w:pPr>
    <w:rPr>
      <w:rFonts w:ascii="宋体" w:hAnsi="宋体" w:eastAsia="宋体"/>
      <w:sz w:val="21"/>
      <w:szCs w:val="20"/>
    </w:rPr>
  </w:style>
  <w:style w:type="character" w:styleId="894" w:customStyle="1">
    <w:name w:val="正文文本首行缩进 2 字符"/>
    <w:link w:val="893"/>
    <w:uiPriority w:val="0"/>
    <w:qFormat/>
    <w:rPr>
      <w:rFonts w:ascii="宋体" w:hAnsi="宋体" w:eastAsia="仿宋_GB2312"/>
      <w:sz w:val="21"/>
      <w:szCs w:val="22"/>
    </w:rPr>
  </w:style>
  <w:style w:type="table" w:styleId="895" w:customStyle="1">
    <w:name w:val="网格型1"/>
    <w:basedOn w:val="829"/>
    <w:uiPriority w:val="0"/>
    <w:qFormat/>
    <w:pPr>
      <w:jc w:val="both"/>
      <w:widowControl w:val="off"/>
    </w:pPr>
    <w:tblPr/>
  </w:style>
  <w:style w:type="character" w:styleId="896" w:customStyle="1">
    <w:name w:val="要点1"/>
    <w:link w:val="776"/>
    <w:uiPriority w:val="0"/>
    <w:qFormat/>
    <w:rPr>
      <w:b/>
      <w:bCs/>
    </w:rPr>
  </w:style>
  <w:style w:type="character" w:styleId="897" w:customStyle="1">
    <w:name w:val="尾注引用1"/>
    <w:link w:val="776"/>
    <w:uiPriority w:val="99"/>
    <w:unhideWhenUsed/>
    <w:qFormat/>
    <w:rPr>
      <w:vertAlign w:val="superscript"/>
    </w:rPr>
  </w:style>
  <w:style w:type="character" w:styleId="898" w:customStyle="1">
    <w:name w:val="页码11"/>
    <w:link w:val="776"/>
    <w:uiPriority w:val="0"/>
    <w:qFormat/>
  </w:style>
  <w:style w:type="character" w:styleId="899" w:customStyle="1">
    <w:name w:val="已访问的超链接1"/>
    <w:link w:val="776"/>
    <w:uiPriority w:val="0"/>
    <w:qFormat/>
    <w:rPr>
      <w:color w:val="800080"/>
      <w:u w:val="single"/>
    </w:rPr>
  </w:style>
  <w:style w:type="character" w:styleId="900" w:customStyle="1">
    <w:name w:val="强调1"/>
    <w:link w:val="776"/>
    <w:uiPriority w:val="0"/>
    <w:qFormat/>
    <w:rPr>
      <w:i/>
    </w:rPr>
  </w:style>
  <w:style w:type="character" w:styleId="901" w:customStyle="1">
    <w:name w:val="超链接1"/>
    <w:link w:val="776"/>
    <w:uiPriority w:val="0"/>
    <w:qFormat/>
    <w:rPr>
      <w:color w:val="0000ff"/>
      <w:u w:val="single"/>
    </w:rPr>
  </w:style>
  <w:style w:type="character" w:styleId="902" w:customStyle="1">
    <w:name w:val="批注引用1"/>
    <w:link w:val="776"/>
    <w:uiPriority w:val="0"/>
    <w:semiHidden/>
    <w:qFormat/>
    <w:rPr>
      <w:sz w:val="21"/>
      <w:szCs w:val="21"/>
    </w:rPr>
  </w:style>
  <w:style w:type="character" w:styleId="903" w:customStyle="1">
    <w:name w:val="脚注引用1"/>
    <w:link w:val="776"/>
    <w:uiPriority w:val="99"/>
    <w:unhideWhenUsed/>
    <w:qFormat/>
    <w:rPr>
      <w:vertAlign w:val="superscript"/>
    </w:rPr>
  </w:style>
  <w:style w:type="paragraph" w:styleId="904" w:customStyle="1">
    <w:name w:val="正文首行缩进 21"/>
    <w:basedOn w:val="905"/>
    <w:next w:val="776"/>
    <w:uiPriority w:val="0"/>
    <w:qFormat/>
    <w:pPr>
      <w:ind w:firstLine="420"/>
      <w:spacing w:line="360" w:lineRule="auto"/>
    </w:pPr>
    <w:rPr>
      <w:rFonts w:ascii="宋体" w:hAnsi="宋体" w:eastAsia="宋体"/>
      <w:sz w:val="21"/>
      <w:szCs w:val="20"/>
    </w:rPr>
  </w:style>
  <w:style w:type="paragraph" w:styleId="905" w:customStyle="1">
    <w:name w:val="正文文本缩进1"/>
    <w:basedOn w:val="776"/>
    <w:next w:val="906"/>
    <w:uiPriority w:val="0"/>
    <w:qFormat/>
    <w:pPr>
      <w:ind w:firstLine="645"/>
    </w:pPr>
    <w:rPr>
      <w:rFonts w:ascii="楷体_GB2312" w:eastAsia="楷体_GB2312"/>
      <w:sz w:val="32"/>
      <w:szCs w:val="32"/>
    </w:rPr>
  </w:style>
  <w:style w:type="paragraph" w:styleId="906" w:customStyle="1">
    <w:name w:val="寄信人地址1"/>
    <w:basedOn w:val="776"/>
    <w:uiPriority w:val="0"/>
    <w:qFormat/>
    <w:rPr>
      <w:rFonts w:ascii="Arial" w:hAnsi="Arial"/>
    </w:rPr>
  </w:style>
  <w:style w:type="paragraph" w:styleId="907" w:customStyle="1">
    <w:name w:val="标题 41"/>
    <w:basedOn w:val="908"/>
    <w:next w:val="77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8" w:customStyle="1">
    <w:name w:val="Normal_20"/>
    <w:next w:val="909"/>
    <w:uiPriority w:val="0"/>
    <w:qFormat/>
    <w:rPr>
      <w:rFonts w:hint="default" w:ascii="黑体" w:hAnsi="黑体" w:eastAsia="黑体" w:cs="黑体"/>
      <w:b/>
      <w:sz w:val="32"/>
      <w:szCs w:val="24"/>
      <w:lang w:val="en-US" w:eastAsia="zh-CN" w:bidi="ar-SA"/>
    </w:rPr>
  </w:style>
  <w:style w:type="paragraph" w:styleId="909" w:customStyle="1">
    <w:name w:val="Body Text First Indent_2"/>
    <w:basedOn w:val="908"/>
    <w:uiPriority w:val="0"/>
    <w:qFormat/>
    <w:pPr>
      <w:ind w:firstLine="100"/>
      <w:spacing w:after="120"/>
    </w:pPr>
  </w:style>
  <w:style w:type="paragraph" w:styleId="910" w:customStyle="1">
    <w:name w:val="脚注文本1"/>
    <w:basedOn w:val="776"/>
    <w:uiPriority w:val="0"/>
    <w:qFormat/>
    <w:pPr>
      <w:jc w:val="left"/>
    </w:pPr>
    <w:rPr>
      <w:rFonts w:eastAsia="Times New Roman"/>
      <w:sz w:val="18"/>
      <w:szCs w:val="24"/>
    </w:rPr>
  </w:style>
  <w:style w:type="table" w:styleId="911" w:customStyle="1">
    <w:name w:val="Plain Table 1"/>
    <w:basedOn w:val="829"/>
    <w:uiPriority w:val="59"/>
    <w:qFormat/>
    <w:pPr>
      <w:spacing w:after="0" w:line="240" w:lineRule="auto"/>
    </w:pPr>
    <w:tblPr/>
  </w:style>
  <w:style w:type="table" w:styleId="912" w:customStyle="1">
    <w:name w:val="Plain Table 2"/>
    <w:basedOn w:val="829"/>
    <w:uiPriority w:val="59"/>
    <w:qFormat/>
    <w:pPr>
      <w:spacing w:after="0" w:line="240" w:lineRule="auto"/>
    </w:pPr>
    <w:tblPr/>
  </w:style>
  <w:style w:type="table" w:styleId="913" w:customStyle="1">
    <w:name w:val="Plain Table 3"/>
    <w:basedOn w:val="829"/>
    <w:uiPriority w:val="99"/>
    <w:qFormat/>
    <w:pPr>
      <w:spacing w:after="0" w:line="240" w:lineRule="auto"/>
    </w:pPr>
    <w:tblPr/>
  </w:style>
  <w:style w:type="table" w:styleId="914" w:customStyle="1">
    <w:name w:val="Plain Table 4"/>
    <w:basedOn w:val="829"/>
    <w:uiPriority w:val="99"/>
    <w:qFormat/>
    <w:pPr>
      <w:spacing w:after="0" w:line="240" w:lineRule="auto"/>
    </w:pPr>
    <w:tblPr/>
  </w:style>
  <w:style w:type="table" w:styleId="915" w:customStyle="1">
    <w:name w:val="Plain Table 5"/>
    <w:basedOn w:val="829"/>
    <w:uiPriority w:val="99"/>
    <w:qFormat/>
    <w:pPr>
      <w:spacing w:after="0" w:line="240" w:lineRule="auto"/>
    </w:pPr>
    <w:tblPr/>
  </w:style>
  <w:style w:type="table" w:styleId="916" w:customStyle="1">
    <w:name w:val="Grid Table 1 Light"/>
    <w:basedOn w:val="829"/>
    <w:uiPriority w:val="99"/>
    <w:qFormat/>
    <w:pPr>
      <w:spacing w:after="0" w:line="240" w:lineRule="auto"/>
    </w:pPr>
    <w:tblPr/>
  </w:style>
  <w:style w:type="table" w:styleId="917" w:customStyle="1">
    <w:name w:val="Grid Table 2"/>
    <w:basedOn w:val="829"/>
    <w:uiPriority w:val="99"/>
    <w:qFormat/>
    <w:pPr>
      <w:spacing w:after="0" w:line="240" w:lineRule="auto"/>
    </w:pPr>
    <w:tblPr/>
  </w:style>
  <w:style w:type="table" w:styleId="918" w:customStyle="1">
    <w:name w:val="Grid Table 3"/>
    <w:basedOn w:val="829"/>
    <w:uiPriority w:val="99"/>
    <w:qFormat/>
    <w:pPr>
      <w:spacing w:after="0" w:line="240" w:lineRule="auto"/>
    </w:pPr>
    <w:tblPr/>
  </w:style>
  <w:style w:type="table" w:styleId="919" w:customStyle="1">
    <w:name w:val="Grid Table 4"/>
    <w:basedOn w:val="829"/>
    <w:uiPriority w:val="59"/>
    <w:qFormat/>
    <w:pPr>
      <w:spacing w:after="0" w:line="240" w:lineRule="auto"/>
    </w:pPr>
    <w:tblPr/>
  </w:style>
  <w:style w:type="table" w:styleId="920" w:customStyle="1">
    <w:name w:val="Grid Table 5 Dark"/>
    <w:basedOn w:val="829"/>
    <w:uiPriority w:val="99"/>
    <w:qFormat/>
    <w:pPr>
      <w:spacing w:after="0" w:line="240" w:lineRule="auto"/>
    </w:pPr>
    <w:tblPr/>
  </w:style>
  <w:style w:type="table" w:styleId="921" w:customStyle="1">
    <w:name w:val="Grid Table 6 Colorful"/>
    <w:basedOn w:val="829"/>
    <w:uiPriority w:val="99"/>
    <w:qFormat/>
    <w:pPr>
      <w:spacing w:after="0" w:line="240" w:lineRule="auto"/>
    </w:pPr>
    <w:tblPr/>
  </w:style>
  <w:style w:type="table" w:styleId="922" w:customStyle="1">
    <w:name w:val="Grid Table 7 Colorful"/>
    <w:basedOn w:val="829"/>
    <w:uiPriority w:val="99"/>
    <w:qFormat/>
    <w:pPr>
      <w:spacing w:after="0" w:line="240" w:lineRule="auto"/>
    </w:pPr>
    <w:tblPr/>
  </w:style>
  <w:style w:type="table" w:styleId="923" w:customStyle="1">
    <w:name w:val="List Table 1 Light"/>
    <w:basedOn w:val="829"/>
    <w:uiPriority w:val="99"/>
    <w:qFormat/>
    <w:pPr>
      <w:spacing w:after="0" w:line="240" w:lineRule="auto"/>
    </w:pPr>
    <w:tblPr/>
  </w:style>
  <w:style w:type="table" w:styleId="924" w:customStyle="1">
    <w:name w:val="List Table 2"/>
    <w:basedOn w:val="829"/>
    <w:uiPriority w:val="99"/>
    <w:qFormat/>
    <w:pPr>
      <w:spacing w:after="0" w:line="240" w:lineRule="auto"/>
    </w:pPr>
    <w:tblPr/>
  </w:style>
  <w:style w:type="table" w:styleId="925" w:customStyle="1">
    <w:name w:val="List Table 3"/>
    <w:basedOn w:val="829"/>
    <w:uiPriority w:val="99"/>
    <w:qFormat/>
    <w:pPr>
      <w:spacing w:after="0" w:line="240" w:lineRule="auto"/>
    </w:pPr>
    <w:tblPr/>
  </w:style>
  <w:style w:type="table" w:styleId="926" w:customStyle="1">
    <w:name w:val="List Table 4"/>
    <w:basedOn w:val="829"/>
    <w:uiPriority w:val="99"/>
    <w:qFormat/>
    <w:pPr>
      <w:spacing w:after="0" w:line="240" w:lineRule="auto"/>
    </w:pPr>
    <w:tblPr/>
  </w:style>
  <w:style w:type="table" w:styleId="927" w:customStyle="1">
    <w:name w:val="List Table 5 Dark"/>
    <w:basedOn w:val="829"/>
    <w:uiPriority w:val="99"/>
    <w:qFormat/>
    <w:pPr>
      <w:spacing w:after="0" w:line="240" w:lineRule="auto"/>
    </w:pPr>
    <w:tblPr/>
  </w:style>
  <w:style w:type="table" w:styleId="928" w:customStyle="1">
    <w:name w:val="List Table 6 Colorful"/>
    <w:basedOn w:val="829"/>
    <w:uiPriority w:val="99"/>
    <w:qFormat/>
    <w:pPr>
      <w:spacing w:after="0" w:line="240" w:lineRule="auto"/>
    </w:pPr>
    <w:tblPr/>
  </w:style>
  <w:style w:type="table" w:styleId="929" w:customStyle="1">
    <w:name w:val="List Table 7 Colorful"/>
    <w:basedOn w:val="829"/>
    <w:uiPriority w:val="99"/>
    <w:qFormat/>
    <w:pPr>
      <w:spacing w:after="0" w:line="240" w:lineRule="auto"/>
    </w:pPr>
    <w:tblPr/>
  </w:style>
  <w:style w:type="paragraph" w:styleId="930" w:customStyle="1">
    <w:name w:val="TOC Heading"/>
    <w:uiPriority w:val="39"/>
    <w:unhideWhenUsed/>
    <w:qFormat/>
    <w:rPr>
      <w:rFonts w:hint="default" w:ascii="Times New Roman" w:hAnsi="Times New Roman" w:eastAsia="宋体" w:cs="Times New Roman"/>
      <w:lang w:val="en-US" w:eastAsia="zh-CN" w:bidi="ar-SA"/>
    </w:rPr>
  </w:style>
  <w:style w:type="table" w:styleId="931" w:customStyle="1">
    <w:name w:val="无格式表格 11"/>
    <w:basedOn w:val="829"/>
    <w:uiPriority w:val="59"/>
    <w:qFormat/>
    <w:tblPr/>
  </w:style>
  <w:style w:type="table" w:styleId="932" w:customStyle="1">
    <w:name w:val="无格式表格 21"/>
    <w:basedOn w:val="829"/>
    <w:uiPriority w:val="59"/>
    <w:qFormat/>
    <w:tblPr/>
  </w:style>
  <w:style w:type="table" w:styleId="933" w:customStyle="1">
    <w:name w:val="无格式表格 31"/>
    <w:basedOn w:val="829"/>
    <w:uiPriority w:val="99"/>
    <w:qFormat/>
    <w:tblPr/>
  </w:style>
  <w:style w:type="table" w:styleId="934" w:customStyle="1">
    <w:name w:val="无格式表格 41"/>
    <w:basedOn w:val="829"/>
    <w:uiPriority w:val="99"/>
    <w:qFormat/>
    <w:tblPr/>
  </w:style>
  <w:style w:type="table" w:styleId="935" w:customStyle="1">
    <w:name w:val="无格式表格 51"/>
    <w:basedOn w:val="829"/>
    <w:uiPriority w:val="99"/>
    <w:qFormat/>
    <w:tblPr/>
  </w:style>
  <w:style w:type="table" w:styleId="936" w:customStyle="1">
    <w:name w:val="网格表 1 浅色1"/>
    <w:basedOn w:val="829"/>
    <w:uiPriority w:val="99"/>
    <w:qFormat/>
    <w:tblPr/>
  </w:style>
  <w:style w:type="table" w:styleId="937" w:customStyle="1">
    <w:name w:val="网格表 21"/>
    <w:basedOn w:val="829"/>
    <w:uiPriority w:val="99"/>
    <w:qFormat/>
    <w:tblPr/>
  </w:style>
  <w:style w:type="table" w:styleId="938" w:customStyle="1">
    <w:name w:val="网格表 31"/>
    <w:basedOn w:val="829"/>
    <w:uiPriority w:val="99"/>
    <w:qFormat/>
    <w:tblPr/>
  </w:style>
  <w:style w:type="table" w:styleId="939" w:customStyle="1">
    <w:name w:val="网格表 41"/>
    <w:basedOn w:val="829"/>
    <w:uiPriority w:val="59"/>
    <w:qFormat/>
    <w:tblPr/>
  </w:style>
  <w:style w:type="table" w:styleId="940" w:customStyle="1">
    <w:name w:val="网格表 5 深色1"/>
    <w:basedOn w:val="829"/>
    <w:uiPriority w:val="99"/>
    <w:qFormat/>
    <w:tblPr/>
  </w:style>
  <w:style w:type="table" w:styleId="941" w:customStyle="1">
    <w:name w:val="网格表 6 彩色1"/>
    <w:basedOn w:val="829"/>
    <w:uiPriority w:val="99"/>
    <w:qFormat/>
    <w:tblPr/>
  </w:style>
  <w:style w:type="table" w:styleId="942" w:customStyle="1">
    <w:name w:val="网格表 7 彩色1"/>
    <w:basedOn w:val="829"/>
    <w:uiPriority w:val="99"/>
    <w:qFormat/>
    <w:tblPr/>
  </w:style>
  <w:style w:type="table" w:styleId="943" w:customStyle="1">
    <w:name w:val="清单表 1 浅色1"/>
    <w:basedOn w:val="829"/>
    <w:uiPriority w:val="99"/>
    <w:qFormat/>
    <w:tblPr/>
  </w:style>
  <w:style w:type="table" w:styleId="944" w:customStyle="1">
    <w:name w:val="清单表 21"/>
    <w:basedOn w:val="829"/>
    <w:uiPriority w:val="99"/>
    <w:qFormat/>
    <w:tblPr/>
  </w:style>
  <w:style w:type="table" w:styleId="945" w:customStyle="1">
    <w:name w:val="清单表 31"/>
    <w:basedOn w:val="829"/>
    <w:uiPriority w:val="99"/>
    <w:qFormat/>
    <w:tblPr/>
  </w:style>
  <w:style w:type="table" w:styleId="946" w:customStyle="1">
    <w:name w:val="清单表 41"/>
    <w:basedOn w:val="829"/>
    <w:uiPriority w:val="99"/>
    <w:qFormat/>
    <w:tblPr/>
  </w:style>
  <w:style w:type="table" w:styleId="947" w:customStyle="1">
    <w:name w:val="清单表 5 深色1"/>
    <w:basedOn w:val="829"/>
    <w:uiPriority w:val="99"/>
    <w:qFormat/>
    <w:tblPr/>
  </w:style>
  <w:style w:type="table" w:styleId="948" w:customStyle="1">
    <w:name w:val="清单表 6 彩色1"/>
    <w:basedOn w:val="829"/>
    <w:uiPriority w:val="99"/>
    <w:qFormat/>
    <w:tblPr/>
  </w:style>
  <w:style w:type="table" w:styleId="949" w:customStyle="1">
    <w:name w:val="清单表 7 彩色1"/>
    <w:basedOn w:val="829"/>
    <w:uiPriority w:val="99"/>
    <w:qFormat/>
    <w:tblPr/>
  </w:style>
  <w:style w:type="paragraph" w:styleId="950" w:customStyle="1">
    <w:name w:val="TOC 标题1"/>
    <w:uiPriority w:val="39"/>
    <w:unhideWhenUsed/>
    <w:qFormat/>
    <w:rPr>
      <w:rFonts w:hint="default" w:ascii="Times New Roman" w:hAnsi="Times New Roman" w:eastAsia="宋体" w:cs="Times New Roman"/>
      <w:lang w:val="en-US" w:eastAsia="zh-CN" w:bidi="ar-SA"/>
    </w:rPr>
  </w:style>
  <w:style w:type="paragraph" w:styleId="951" w:customStyle="1">
    <w:name w:val="Normal_21"/>
    <w:basedOn w:val="952"/>
    <w:next w:val="952"/>
    <w:uiPriority w:val="0"/>
    <w:qFormat/>
    <w:pPr>
      <w:jc w:val="both"/>
      <w:widowControl w:val="off"/>
    </w:pPr>
    <w:rPr>
      <w:rFonts w:ascii="Times New Roman" w:hAnsi="Times New Roman" w:eastAsia="宋体" w:cs="Times New Roman"/>
      <w:sz w:val="21"/>
      <w:szCs w:val="24"/>
      <w:lang w:val="en-US" w:eastAsia="zh-CN" w:bidi="ar-SA"/>
    </w:rPr>
  </w:style>
  <w:style w:type="paragraph" w:styleId="95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53" w:customStyle="1">
    <w:name w:val="正文_17"/>
    <w:next w:val="9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4" w:customStyle="1">
    <w:name w:val="标题 4_1"/>
    <w:basedOn w:val="953"/>
    <w:next w:val="95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5" w:customStyle="1">
    <w:name w:val="Heading 1 Char"/>
    <w:link w:val="776"/>
    <w:uiPriority w:val="9"/>
    <w:qFormat/>
    <w:rPr>
      <w:rFonts w:ascii="Arial" w:hAnsi="Arial" w:eastAsia="Arial" w:cs="Arial"/>
      <w:sz w:val="40"/>
      <w:szCs w:val="40"/>
    </w:rPr>
  </w:style>
  <w:style w:type="character" w:styleId="956" w:customStyle="1">
    <w:name w:val="Heading 2 Char"/>
    <w:link w:val="776"/>
    <w:uiPriority w:val="9"/>
    <w:qFormat/>
    <w:rPr>
      <w:rFonts w:ascii="Arial" w:hAnsi="Arial" w:eastAsia="Arial" w:cs="Arial"/>
      <w:sz w:val="34"/>
    </w:rPr>
  </w:style>
  <w:style w:type="character" w:styleId="957" w:customStyle="1">
    <w:name w:val="Heading 3 Char"/>
    <w:link w:val="776"/>
    <w:uiPriority w:val="9"/>
    <w:qFormat/>
    <w:rPr>
      <w:rFonts w:ascii="Arial" w:hAnsi="Arial" w:eastAsia="Arial" w:cs="Arial"/>
      <w:sz w:val="30"/>
      <w:szCs w:val="30"/>
    </w:rPr>
  </w:style>
  <w:style w:type="character" w:styleId="958" w:customStyle="1">
    <w:name w:val="Heading 4 Char"/>
    <w:link w:val="776"/>
    <w:uiPriority w:val="9"/>
    <w:qFormat/>
    <w:rPr>
      <w:rFonts w:ascii="Arial" w:hAnsi="Arial" w:eastAsia="Arial" w:cs="Arial"/>
      <w:b/>
      <w:bCs/>
      <w:sz w:val="26"/>
      <w:szCs w:val="26"/>
    </w:rPr>
  </w:style>
  <w:style w:type="character" w:styleId="959" w:customStyle="1">
    <w:name w:val="Heading 5 Char"/>
    <w:link w:val="776"/>
    <w:uiPriority w:val="9"/>
    <w:qFormat/>
    <w:rPr>
      <w:rFonts w:ascii="Arial" w:hAnsi="Arial" w:eastAsia="Arial" w:cs="Arial"/>
      <w:b/>
      <w:bCs/>
      <w:sz w:val="24"/>
      <w:szCs w:val="24"/>
    </w:rPr>
  </w:style>
  <w:style w:type="character" w:styleId="960" w:customStyle="1">
    <w:name w:val="Heading 6 Char"/>
    <w:link w:val="776"/>
    <w:uiPriority w:val="9"/>
    <w:qFormat/>
    <w:rPr>
      <w:rFonts w:ascii="Arial" w:hAnsi="Arial" w:eastAsia="Arial" w:cs="Arial"/>
      <w:b/>
      <w:bCs/>
      <w:sz w:val="22"/>
      <w:szCs w:val="22"/>
    </w:rPr>
  </w:style>
  <w:style w:type="character" w:styleId="961" w:customStyle="1">
    <w:name w:val="Heading 7 Char"/>
    <w:link w:val="776"/>
    <w:uiPriority w:val="9"/>
    <w:qFormat/>
    <w:rPr>
      <w:rFonts w:ascii="Arial" w:hAnsi="Arial" w:eastAsia="Arial" w:cs="Arial"/>
      <w:b/>
      <w:bCs/>
      <w:i/>
      <w:iCs/>
      <w:sz w:val="22"/>
      <w:szCs w:val="22"/>
    </w:rPr>
  </w:style>
  <w:style w:type="character" w:styleId="962" w:customStyle="1">
    <w:name w:val="Heading 8 Char"/>
    <w:link w:val="776"/>
    <w:uiPriority w:val="9"/>
    <w:qFormat/>
    <w:rPr>
      <w:rFonts w:ascii="Arial" w:hAnsi="Arial" w:eastAsia="Arial" w:cs="Arial"/>
      <w:i/>
      <w:iCs/>
      <w:sz w:val="22"/>
      <w:szCs w:val="22"/>
    </w:rPr>
  </w:style>
  <w:style w:type="character" w:styleId="963" w:customStyle="1">
    <w:name w:val="Heading 9 Char"/>
    <w:link w:val="776"/>
    <w:uiPriority w:val="9"/>
    <w:qFormat/>
    <w:rPr>
      <w:rFonts w:ascii="Arial" w:hAnsi="Arial" w:eastAsia="Arial" w:cs="Arial"/>
      <w:i/>
      <w:iCs/>
      <w:sz w:val="21"/>
      <w:szCs w:val="21"/>
    </w:rPr>
  </w:style>
  <w:style w:type="character" w:styleId="964" w:customStyle="1">
    <w:name w:val="Title Char"/>
    <w:link w:val="776"/>
    <w:uiPriority w:val="10"/>
    <w:qFormat/>
    <w:rPr>
      <w:sz w:val="48"/>
      <w:szCs w:val="48"/>
    </w:rPr>
  </w:style>
  <w:style w:type="character" w:styleId="965" w:customStyle="1">
    <w:name w:val="Subtitle Char"/>
    <w:link w:val="776"/>
    <w:uiPriority w:val="11"/>
    <w:qFormat/>
    <w:rPr>
      <w:sz w:val="24"/>
      <w:szCs w:val="24"/>
    </w:rPr>
  </w:style>
  <w:style w:type="character" w:styleId="966" w:customStyle="1">
    <w:name w:val="Quote Char"/>
    <w:link w:val="776"/>
    <w:uiPriority w:val="29"/>
    <w:qFormat/>
    <w:rPr>
      <w:i/>
    </w:rPr>
  </w:style>
  <w:style w:type="character" w:styleId="967" w:customStyle="1">
    <w:name w:val="Intense Quote Char"/>
    <w:link w:val="776"/>
    <w:uiPriority w:val="30"/>
    <w:qFormat/>
    <w:rPr>
      <w:i/>
    </w:rPr>
  </w:style>
  <w:style w:type="character" w:styleId="968" w:customStyle="1">
    <w:name w:val="Caption Char"/>
    <w:link w:val="776"/>
    <w:uiPriority w:val="99"/>
    <w:qFormat/>
  </w:style>
  <w:style w:type="character" w:styleId="969" w:customStyle="1">
    <w:name w:val="Footnote Text Char"/>
    <w:link w:val="776"/>
    <w:uiPriority w:val="99"/>
    <w:qFormat/>
    <w:rPr>
      <w:sz w:val="18"/>
    </w:rPr>
  </w:style>
  <w:style w:type="character" w:styleId="970" w:customStyle="1">
    <w:name w:val="Endnote Text Char"/>
    <w:link w:val="776"/>
    <w:uiPriority w:val="99"/>
    <w:qFormat/>
    <w:rPr>
      <w:sz w:val="20"/>
    </w:rPr>
  </w:style>
  <w:style w:type="paragraph" w:styleId="971" w:customStyle="1">
    <w:name w:val="列表段落"/>
    <w:basedOn w:val="776"/>
    <w:uiPriority w:val="0"/>
    <w:qFormat/>
    <w:pPr>
      <w:contextualSpacing/>
      <w:ind w:left="720"/>
    </w:pPr>
  </w:style>
  <w:style w:type="paragraph" w:styleId="972" w:customStyle="1">
    <w:name w:val="无间隔"/>
    <w:uiPriority w:val="99"/>
    <w:qFormat/>
    <w:rPr>
      <w:rFonts w:hint="default" w:ascii="Times New Roman" w:hAnsi="Times New Roman" w:eastAsia="宋体" w:cs="Times New Roman"/>
      <w:lang w:val="en-US" w:eastAsia="zh-CN" w:bidi="ar-SA"/>
    </w:rPr>
  </w:style>
  <w:style w:type="paragraph" w:styleId="973" w:customStyle="1">
    <w:name w:val="引用"/>
    <w:basedOn w:val="776"/>
    <w:next w:val="776"/>
    <w:link w:val="974"/>
    <w:uiPriority w:val="29"/>
    <w:qFormat/>
    <w:pPr>
      <w:ind w:left="720" w:right="720"/>
    </w:pPr>
    <w:rPr>
      <w:i/>
    </w:rPr>
  </w:style>
  <w:style w:type="character" w:styleId="974" w:customStyle="1">
    <w:name w:val="引用 字符"/>
    <w:link w:val="973"/>
    <w:uiPriority w:val="29"/>
    <w:qFormat/>
    <w:rPr>
      <w:i/>
    </w:rPr>
  </w:style>
  <w:style w:type="paragraph" w:styleId="975" w:customStyle="1">
    <w:name w:val="明显引用"/>
    <w:basedOn w:val="776"/>
    <w:next w:val="776"/>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link w:val="975"/>
    <w:uiPriority w:val="30"/>
    <w:qFormat/>
    <w:rPr>
      <w:i/>
    </w:rPr>
  </w:style>
  <w:style w:type="character" w:styleId="977" w:customStyle="1">
    <w:name w:val="Header Char"/>
    <w:link w:val="776"/>
    <w:uiPriority w:val="99"/>
    <w:qFormat/>
  </w:style>
  <w:style w:type="character" w:styleId="978" w:customStyle="1">
    <w:name w:val="Footer Char"/>
    <w:link w:val="776"/>
    <w:uiPriority w:val="99"/>
    <w:qFormat/>
  </w:style>
  <w:style w:type="table" w:styleId="979" w:customStyle="1">
    <w:name w:val="Table Grid Light"/>
    <w:basedOn w:val="829"/>
    <w:uiPriority w:val="59"/>
    <w:qFormat/>
    <w:tblPr/>
  </w:style>
  <w:style w:type="table" w:styleId="980" w:customStyle="1">
    <w:name w:val="Grid Table 1 Light - Accent 1"/>
    <w:basedOn w:val="829"/>
    <w:uiPriority w:val="99"/>
    <w:qFormat/>
    <w:tblPr/>
  </w:style>
  <w:style w:type="table" w:styleId="981" w:customStyle="1">
    <w:name w:val="Grid Table 1 Light - Accent 2"/>
    <w:basedOn w:val="829"/>
    <w:uiPriority w:val="99"/>
    <w:qFormat/>
    <w:tblPr/>
  </w:style>
  <w:style w:type="table" w:styleId="982" w:customStyle="1">
    <w:name w:val="Grid Table 1 Light - Accent 3"/>
    <w:basedOn w:val="829"/>
    <w:uiPriority w:val="99"/>
    <w:qFormat/>
    <w:tblPr/>
  </w:style>
  <w:style w:type="table" w:styleId="983" w:customStyle="1">
    <w:name w:val="Grid Table 1 Light - Accent 4"/>
    <w:basedOn w:val="829"/>
    <w:uiPriority w:val="99"/>
    <w:qFormat/>
    <w:tblPr/>
  </w:style>
  <w:style w:type="table" w:styleId="984" w:customStyle="1">
    <w:name w:val="Grid Table 1 Light - Accent 5"/>
    <w:basedOn w:val="829"/>
    <w:uiPriority w:val="99"/>
    <w:qFormat/>
    <w:tblPr/>
  </w:style>
  <w:style w:type="table" w:styleId="985" w:customStyle="1">
    <w:name w:val="Grid Table 1 Light - Accent 6"/>
    <w:basedOn w:val="829"/>
    <w:uiPriority w:val="99"/>
    <w:qFormat/>
    <w:tblPr/>
  </w:style>
  <w:style w:type="table" w:styleId="986" w:customStyle="1">
    <w:name w:val="Grid Table 2 - Accent 1"/>
    <w:basedOn w:val="829"/>
    <w:uiPriority w:val="99"/>
    <w:qFormat/>
    <w:tblPr/>
  </w:style>
  <w:style w:type="table" w:styleId="987" w:customStyle="1">
    <w:name w:val="Grid Table 2 - Accent 2"/>
    <w:basedOn w:val="829"/>
    <w:uiPriority w:val="99"/>
    <w:qFormat/>
    <w:tblPr/>
  </w:style>
  <w:style w:type="table" w:styleId="988" w:customStyle="1">
    <w:name w:val="Grid Table 2 - Accent 3"/>
    <w:basedOn w:val="829"/>
    <w:uiPriority w:val="99"/>
    <w:qFormat/>
    <w:tblPr/>
  </w:style>
  <w:style w:type="table" w:styleId="989" w:customStyle="1">
    <w:name w:val="Grid Table 2 - Accent 4"/>
    <w:basedOn w:val="829"/>
    <w:uiPriority w:val="99"/>
    <w:qFormat/>
    <w:tblPr/>
  </w:style>
  <w:style w:type="table" w:styleId="990" w:customStyle="1">
    <w:name w:val="Grid Table 2 - Accent 5"/>
    <w:basedOn w:val="829"/>
    <w:uiPriority w:val="99"/>
    <w:qFormat/>
    <w:tblPr/>
  </w:style>
  <w:style w:type="table" w:styleId="991" w:customStyle="1">
    <w:name w:val="Grid Table 2 - Accent 6"/>
    <w:basedOn w:val="829"/>
    <w:uiPriority w:val="99"/>
    <w:qFormat/>
    <w:tblPr/>
  </w:style>
  <w:style w:type="table" w:styleId="992" w:customStyle="1">
    <w:name w:val="Grid Table 3 - Accent 1"/>
    <w:basedOn w:val="829"/>
    <w:uiPriority w:val="99"/>
    <w:qFormat/>
    <w:tblPr/>
  </w:style>
  <w:style w:type="table" w:styleId="993" w:customStyle="1">
    <w:name w:val="Grid Table 3 - Accent 2"/>
    <w:basedOn w:val="829"/>
    <w:uiPriority w:val="99"/>
    <w:qFormat/>
    <w:tblPr/>
  </w:style>
  <w:style w:type="table" w:styleId="994" w:customStyle="1">
    <w:name w:val="Grid Table 3 - Accent 3"/>
    <w:basedOn w:val="829"/>
    <w:uiPriority w:val="99"/>
    <w:qFormat/>
    <w:tblPr/>
  </w:style>
  <w:style w:type="table" w:styleId="995" w:customStyle="1">
    <w:name w:val="Grid Table 3 - Accent 4"/>
    <w:basedOn w:val="829"/>
    <w:uiPriority w:val="99"/>
    <w:qFormat/>
    <w:tblPr/>
  </w:style>
  <w:style w:type="table" w:styleId="996" w:customStyle="1">
    <w:name w:val="Grid Table 3 - Accent 5"/>
    <w:basedOn w:val="829"/>
    <w:uiPriority w:val="99"/>
    <w:qFormat/>
    <w:tblPr/>
  </w:style>
  <w:style w:type="table" w:styleId="997" w:customStyle="1">
    <w:name w:val="Grid Table 3 - Accent 6"/>
    <w:basedOn w:val="829"/>
    <w:uiPriority w:val="99"/>
    <w:qFormat/>
    <w:tblPr/>
  </w:style>
  <w:style w:type="table" w:styleId="998" w:customStyle="1">
    <w:name w:val="Grid Table 4 - Accent 1"/>
    <w:basedOn w:val="829"/>
    <w:uiPriority w:val="59"/>
    <w:qFormat/>
    <w:tblPr/>
  </w:style>
  <w:style w:type="table" w:styleId="999" w:customStyle="1">
    <w:name w:val="Grid Table 4 - Accent 2"/>
    <w:basedOn w:val="829"/>
    <w:uiPriority w:val="59"/>
    <w:qFormat/>
    <w:tblPr/>
  </w:style>
  <w:style w:type="table" w:styleId="1000" w:customStyle="1">
    <w:name w:val="Grid Table 4 - Accent 3"/>
    <w:basedOn w:val="829"/>
    <w:uiPriority w:val="59"/>
    <w:qFormat/>
    <w:tblPr/>
  </w:style>
  <w:style w:type="table" w:styleId="1001" w:customStyle="1">
    <w:name w:val="Grid Table 4 - Accent 4"/>
    <w:basedOn w:val="829"/>
    <w:uiPriority w:val="59"/>
    <w:qFormat/>
    <w:tblPr/>
  </w:style>
  <w:style w:type="table" w:styleId="1002" w:customStyle="1">
    <w:name w:val="Grid Table 4 - Accent 5"/>
    <w:basedOn w:val="829"/>
    <w:uiPriority w:val="59"/>
    <w:qFormat/>
    <w:tblPr/>
  </w:style>
  <w:style w:type="table" w:styleId="1003" w:customStyle="1">
    <w:name w:val="Grid Table 4 - Accent 6"/>
    <w:basedOn w:val="829"/>
    <w:uiPriority w:val="59"/>
    <w:qFormat/>
    <w:tblPr/>
  </w:style>
  <w:style w:type="table" w:styleId="1004" w:customStyle="1">
    <w:name w:val="Grid Table 5 Dark- Accent 1"/>
    <w:basedOn w:val="829"/>
    <w:uiPriority w:val="99"/>
    <w:qFormat/>
    <w:tblPr/>
  </w:style>
  <w:style w:type="table" w:styleId="1005" w:customStyle="1">
    <w:name w:val="Grid Table 5 Dark - Accent 2"/>
    <w:basedOn w:val="829"/>
    <w:uiPriority w:val="99"/>
    <w:qFormat/>
    <w:tblPr/>
  </w:style>
  <w:style w:type="table" w:styleId="1006" w:customStyle="1">
    <w:name w:val="Grid Table 5 Dark - Accent 3"/>
    <w:basedOn w:val="829"/>
    <w:uiPriority w:val="99"/>
    <w:qFormat/>
    <w:tblPr/>
  </w:style>
  <w:style w:type="table" w:styleId="1007" w:customStyle="1">
    <w:name w:val="Grid Table 5 Dark- Accent 4"/>
    <w:basedOn w:val="829"/>
    <w:uiPriority w:val="99"/>
    <w:qFormat/>
    <w:tblPr/>
  </w:style>
  <w:style w:type="table" w:styleId="1008" w:customStyle="1">
    <w:name w:val="Grid Table 5 Dark - Accent 5"/>
    <w:basedOn w:val="829"/>
    <w:uiPriority w:val="99"/>
    <w:qFormat/>
    <w:tblPr/>
  </w:style>
  <w:style w:type="table" w:styleId="1009" w:customStyle="1">
    <w:name w:val="Grid Table 5 Dark - Accent 6"/>
    <w:basedOn w:val="829"/>
    <w:uiPriority w:val="99"/>
    <w:qFormat/>
    <w:tblPr/>
  </w:style>
  <w:style w:type="table" w:styleId="1010" w:customStyle="1">
    <w:name w:val="Grid Table 6 Colorful - Accent 1"/>
    <w:basedOn w:val="829"/>
    <w:uiPriority w:val="99"/>
    <w:qFormat/>
    <w:tblPr/>
  </w:style>
  <w:style w:type="table" w:styleId="1011" w:customStyle="1">
    <w:name w:val="Grid Table 6 Colorful - Accent 2"/>
    <w:basedOn w:val="829"/>
    <w:uiPriority w:val="99"/>
    <w:qFormat/>
    <w:tblPr/>
  </w:style>
  <w:style w:type="table" w:styleId="1012" w:customStyle="1">
    <w:name w:val="Grid Table 6 Colorful - Accent 3"/>
    <w:basedOn w:val="829"/>
    <w:uiPriority w:val="99"/>
    <w:qFormat/>
    <w:tblPr/>
  </w:style>
  <w:style w:type="table" w:styleId="1013" w:customStyle="1">
    <w:name w:val="Grid Table 6 Colorful - Accent 4"/>
    <w:basedOn w:val="829"/>
    <w:uiPriority w:val="99"/>
    <w:qFormat/>
    <w:tblPr/>
  </w:style>
  <w:style w:type="table" w:styleId="1014" w:customStyle="1">
    <w:name w:val="Grid Table 6 Colorful - Accent 5"/>
    <w:basedOn w:val="829"/>
    <w:uiPriority w:val="99"/>
    <w:qFormat/>
    <w:tblPr/>
  </w:style>
  <w:style w:type="table" w:styleId="1015" w:customStyle="1">
    <w:name w:val="Grid Table 6 Colorful - Accent 6"/>
    <w:basedOn w:val="829"/>
    <w:uiPriority w:val="99"/>
    <w:qFormat/>
    <w:tblPr/>
  </w:style>
  <w:style w:type="table" w:styleId="1016" w:customStyle="1">
    <w:name w:val="Grid Table 7 Colorful - Accent 1"/>
    <w:basedOn w:val="829"/>
    <w:uiPriority w:val="99"/>
    <w:qFormat/>
    <w:tblPr/>
  </w:style>
  <w:style w:type="table" w:styleId="1017" w:customStyle="1">
    <w:name w:val="Grid Table 7 Colorful - Accent 2"/>
    <w:basedOn w:val="829"/>
    <w:uiPriority w:val="99"/>
    <w:qFormat/>
    <w:tblPr/>
  </w:style>
  <w:style w:type="table" w:styleId="1018" w:customStyle="1">
    <w:name w:val="Grid Table 7 Colorful - Accent 3"/>
    <w:basedOn w:val="829"/>
    <w:uiPriority w:val="99"/>
    <w:qFormat/>
    <w:tblPr/>
  </w:style>
  <w:style w:type="table" w:styleId="1019" w:customStyle="1">
    <w:name w:val="Grid Table 7 Colorful - Accent 4"/>
    <w:basedOn w:val="829"/>
    <w:uiPriority w:val="99"/>
    <w:qFormat/>
    <w:tblPr/>
  </w:style>
  <w:style w:type="table" w:styleId="1020" w:customStyle="1">
    <w:name w:val="Grid Table 7 Colorful - Accent 5"/>
    <w:basedOn w:val="829"/>
    <w:uiPriority w:val="99"/>
    <w:qFormat/>
    <w:tblPr/>
  </w:style>
  <w:style w:type="table" w:styleId="1021" w:customStyle="1">
    <w:name w:val="Grid Table 7 Colorful - Accent 6"/>
    <w:basedOn w:val="829"/>
    <w:uiPriority w:val="99"/>
    <w:qFormat/>
    <w:tblPr/>
  </w:style>
  <w:style w:type="table" w:styleId="1022" w:customStyle="1">
    <w:name w:val="List Table 1 Light - Accent 1"/>
    <w:basedOn w:val="829"/>
    <w:uiPriority w:val="99"/>
    <w:qFormat/>
    <w:tblPr/>
  </w:style>
  <w:style w:type="table" w:styleId="1023" w:customStyle="1">
    <w:name w:val="List Table 1 Light - Accent 2"/>
    <w:basedOn w:val="829"/>
    <w:uiPriority w:val="99"/>
    <w:qFormat/>
    <w:tblPr/>
  </w:style>
  <w:style w:type="table" w:styleId="1024" w:customStyle="1">
    <w:name w:val="List Table 1 Light - Accent 3"/>
    <w:basedOn w:val="829"/>
    <w:uiPriority w:val="99"/>
    <w:qFormat/>
    <w:tblPr/>
  </w:style>
  <w:style w:type="table" w:styleId="1025" w:customStyle="1">
    <w:name w:val="List Table 1 Light - Accent 4"/>
    <w:basedOn w:val="829"/>
    <w:uiPriority w:val="99"/>
    <w:qFormat/>
    <w:tblPr/>
  </w:style>
  <w:style w:type="table" w:styleId="1026" w:customStyle="1">
    <w:name w:val="List Table 1 Light - Accent 5"/>
    <w:basedOn w:val="829"/>
    <w:uiPriority w:val="99"/>
    <w:qFormat/>
    <w:tblPr/>
  </w:style>
  <w:style w:type="table" w:styleId="1027" w:customStyle="1">
    <w:name w:val="List Table 1 Light - Accent 6"/>
    <w:basedOn w:val="829"/>
    <w:uiPriority w:val="99"/>
    <w:qFormat/>
    <w:tblPr/>
  </w:style>
  <w:style w:type="table" w:styleId="1028" w:customStyle="1">
    <w:name w:val="List Table 2 - Accent 1"/>
    <w:basedOn w:val="829"/>
    <w:uiPriority w:val="99"/>
    <w:qFormat/>
    <w:tblPr/>
  </w:style>
  <w:style w:type="table" w:styleId="1029" w:customStyle="1">
    <w:name w:val="List Table 2 - Accent 2"/>
    <w:basedOn w:val="829"/>
    <w:uiPriority w:val="99"/>
    <w:qFormat/>
    <w:tblPr/>
  </w:style>
  <w:style w:type="table" w:styleId="1030" w:customStyle="1">
    <w:name w:val="List Table 2 - Accent 3"/>
    <w:basedOn w:val="829"/>
    <w:uiPriority w:val="99"/>
    <w:qFormat/>
    <w:tblPr/>
  </w:style>
  <w:style w:type="table" w:styleId="1031" w:customStyle="1">
    <w:name w:val="List Table 2 - Accent 4"/>
    <w:basedOn w:val="829"/>
    <w:uiPriority w:val="99"/>
    <w:qFormat/>
    <w:tblPr/>
  </w:style>
  <w:style w:type="table" w:styleId="1032" w:customStyle="1">
    <w:name w:val="List Table 2 - Accent 5"/>
    <w:basedOn w:val="829"/>
    <w:uiPriority w:val="99"/>
    <w:qFormat/>
    <w:tblPr/>
  </w:style>
  <w:style w:type="table" w:styleId="1033" w:customStyle="1">
    <w:name w:val="List Table 2 - Accent 6"/>
    <w:basedOn w:val="829"/>
    <w:uiPriority w:val="99"/>
    <w:qFormat/>
    <w:tblPr/>
  </w:style>
  <w:style w:type="table" w:styleId="1034" w:customStyle="1">
    <w:name w:val="List Table 3 - Accent 1"/>
    <w:basedOn w:val="829"/>
    <w:uiPriority w:val="99"/>
    <w:qFormat/>
    <w:tblPr/>
  </w:style>
  <w:style w:type="table" w:styleId="1035" w:customStyle="1">
    <w:name w:val="List Table 3 - Accent 2"/>
    <w:basedOn w:val="829"/>
    <w:uiPriority w:val="99"/>
    <w:qFormat/>
    <w:tblPr/>
  </w:style>
  <w:style w:type="table" w:styleId="1036" w:customStyle="1">
    <w:name w:val="List Table 3 - Accent 3"/>
    <w:basedOn w:val="829"/>
    <w:uiPriority w:val="99"/>
    <w:qFormat/>
    <w:tblPr/>
  </w:style>
  <w:style w:type="table" w:styleId="1037" w:customStyle="1">
    <w:name w:val="List Table 3 - Accent 4"/>
    <w:basedOn w:val="829"/>
    <w:uiPriority w:val="99"/>
    <w:qFormat/>
    <w:tblPr/>
  </w:style>
  <w:style w:type="table" w:styleId="1038" w:customStyle="1">
    <w:name w:val="List Table 3 - Accent 5"/>
    <w:basedOn w:val="829"/>
    <w:uiPriority w:val="99"/>
    <w:qFormat/>
    <w:tblPr/>
  </w:style>
  <w:style w:type="table" w:styleId="1039" w:customStyle="1">
    <w:name w:val="List Table 3 - Accent 6"/>
    <w:basedOn w:val="829"/>
    <w:uiPriority w:val="99"/>
    <w:qFormat/>
    <w:tblPr/>
  </w:style>
  <w:style w:type="table" w:styleId="1040" w:customStyle="1">
    <w:name w:val="List Table 4 - Accent 1"/>
    <w:basedOn w:val="829"/>
    <w:uiPriority w:val="99"/>
    <w:qFormat/>
    <w:tblPr/>
  </w:style>
  <w:style w:type="table" w:styleId="1041" w:customStyle="1">
    <w:name w:val="List Table 4 - Accent 2"/>
    <w:basedOn w:val="829"/>
    <w:uiPriority w:val="99"/>
    <w:qFormat/>
    <w:tblPr/>
  </w:style>
  <w:style w:type="table" w:styleId="1042" w:customStyle="1">
    <w:name w:val="List Table 4 - Accent 3"/>
    <w:basedOn w:val="829"/>
    <w:uiPriority w:val="99"/>
    <w:qFormat/>
    <w:tblPr/>
  </w:style>
  <w:style w:type="table" w:styleId="1043" w:customStyle="1">
    <w:name w:val="List Table 4 - Accent 4"/>
    <w:basedOn w:val="829"/>
    <w:uiPriority w:val="99"/>
    <w:qFormat/>
    <w:tblPr/>
  </w:style>
  <w:style w:type="table" w:styleId="1044" w:customStyle="1">
    <w:name w:val="List Table 4 - Accent 5"/>
    <w:basedOn w:val="829"/>
    <w:uiPriority w:val="99"/>
    <w:qFormat/>
    <w:tblPr/>
  </w:style>
  <w:style w:type="table" w:styleId="1045" w:customStyle="1">
    <w:name w:val="List Table 4 - Accent 6"/>
    <w:basedOn w:val="829"/>
    <w:uiPriority w:val="99"/>
    <w:qFormat/>
    <w:tblPr/>
  </w:style>
  <w:style w:type="table" w:styleId="1046" w:customStyle="1">
    <w:name w:val="List Table 5 Dark - Accent 1"/>
    <w:basedOn w:val="829"/>
    <w:uiPriority w:val="99"/>
    <w:qFormat/>
    <w:tblPr/>
  </w:style>
  <w:style w:type="table" w:styleId="1047" w:customStyle="1">
    <w:name w:val="List Table 5 Dark - Accent 2"/>
    <w:basedOn w:val="829"/>
    <w:uiPriority w:val="99"/>
    <w:qFormat/>
    <w:tblPr/>
  </w:style>
  <w:style w:type="table" w:styleId="1048" w:customStyle="1">
    <w:name w:val="List Table 5 Dark - Accent 3"/>
    <w:basedOn w:val="829"/>
    <w:uiPriority w:val="99"/>
    <w:qFormat/>
    <w:tblPr/>
  </w:style>
  <w:style w:type="table" w:styleId="1049" w:customStyle="1">
    <w:name w:val="List Table 5 Dark - Accent 4"/>
    <w:basedOn w:val="829"/>
    <w:uiPriority w:val="99"/>
    <w:qFormat/>
    <w:tblPr/>
  </w:style>
  <w:style w:type="table" w:styleId="1050" w:customStyle="1">
    <w:name w:val="List Table 5 Dark - Accent 5"/>
    <w:basedOn w:val="829"/>
    <w:uiPriority w:val="99"/>
    <w:qFormat/>
    <w:tblPr/>
  </w:style>
  <w:style w:type="table" w:styleId="1051" w:customStyle="1">
    <w:name w:val="List Table 5 Dark - Accent 6"/>
    <w:basedOn w:val="829"/>
    <w:uiPriority w:val="99"/>
    <w:qFormat/>
    <w:tblPr/>
  </w:style>
  <w:style w:type="table" w:styleId="1052" w:customStyle="1">
    <w:name w:val="List Table 6 Colorful - Accent 1"/>
    <w:basedOn w:val="829"/>
    <w:uiPriority w:val="99"/>
    <w:qFormat/>
    <w:tblPr/>
  </w:style>
  <w:style w:type="table" w:styleId="1053" w:customStyle="1">
    <w:name w:val="List Table 6 Colorful - Accent 2"/>
    <w:basedOn w:val="829"/>
    <w:uiPriority w:val="99"/>
    <w:qFormat/>
    <w:tblPr/>
  </w:style>
  <w:style w:type="table" w:styleId="1054" w:customStyle="1">
    <w:name w:val="List Table 6 Colorful - Accent 3"/>
    <w:basedOn w:val="829"/>
    <w:uiPriority w:val="99"/>
    <w:qFormat/>
    <w:tblPr/>
  </w:style>
  <w:style w:type="table" w:styleId="1055" w:customStyle="1">
    <w:name w:val="List Table 6 Colorful - Accent 4"/>
    <w:basedOn w:val="829"/>
    <w:uiPriority w:val="99"/>
    <w:qFormat/>
    <w:tblPr/>
  </w:style>
  <w:style w:type="table" w:styleId="1056" w:customStyle="1">
    <w:name w:val="List Table 6 Colorful - Accent 5"/>
    <w:basedOn w:val="829"/>
    <w:uiPriority w:val="99"/>
    <w:qFormat/>
    <w:tblPr/>
  </w:style>
  <w:style w:type="table" w:styleId="1057" w:customStyle="1">
    <w:name w:val="List Table 6 Colorful - Accent 6"/>
    <w:basedOn w:val="829"/>
    <w:uiPriority w:val="99"/>
    <w:qFormat/>
    <w:tblPr/>
  </w:style>
  <w:style w:type="table" w:styleId="1058" w:customStyle="1">
    <w:name w:val="List Table 7 Colorful - Accent 1"/>
    <w:basedOn w:val="829"/>
    <w:uiPriority w:val="99"/>
    <w:qFormat/>
    <w:tblPr/>
  </w:style>
  <w:style w:type="table" w:styleId="1059" w:customStyle="1">
    <w:name w:val="List Table 7 Colorful - Accent 2"/>
    <w:basedOn w:val="829"/>
    <w:uiPriority w:val="99"/>
    <w:qFormat/>
    <w:tblPr/>
  </w:style>
  <w:style w:type="table" w:styleId="1060" w:customStyle="1">
    <w:name w:val="List Table 7 Colorful - Accent 3"/>
    <w:basedOn w:val="829"/>
    <w:uiPriority w:val="99"/>
    <w:qFormat/>
    <w:tblPr/>
  </w:style>
  <w:style w:type="table" w:styleId="1061" w:customStyle="1">
    <w:name w:val="List Table 7 Colorful - Accent 4"/>
    <w:basedOn w:val="829"/>
    <w:uiPriority w:val="99"/>
    <w:qFormat/>
    <w:tblPr/>
  </w:style>
  <w:style w:type="table" w:styleId="1062" w:customStyle="1">
    <w:name w:val="List Table 7 Colorful - Accent 5"/>
    <w:basedOn w:val="829"/>
    <w:uiPriority w:val="99"/>
    <w:qFormat/>
    <w:tblPr/>
  </w:style>
  <w:style w:type="table" w:styleId="1063" w:customStyle="1">
    <w:name w:val="List Table 7 Colorful - Accent 6"/>
    <w:basedOn w:val="829"/>
    <w:uiPriority w:val="99"/>
    <w:qFormat/>
    <w:tblPr/>
  </w:style>
  <w:style w:type="table" w:styleId="1064" w:customStyle="1">
    <w:name w:val="Lined - Accent"/>
    <w:basedOn w:val="829"/>
    <w:uiPriority w:val="99"/>
    <w:qFormat/>
    <w:rPr>
      <w:color w:val="404040"/>
    </w:rPr>
    <w:tblPr/>
  </w:style>
  <w:style w:type="table" w:styleId="1065" w:customStyle="1">
    <w:name w:val="Lined - Accent 1"/>
    <w:basedOn w:val="829"/>
    <w:uiPriority w:val="99"/>
    <w:qFormat/>
    <w:rPr>
      <w:color w:val="404040"/>
    </w:rPr>
    <w:tblPr/>
  </w:style>
  <w:style w:type="table" w:styleId="1066" w:customStyle="1">
    <w:name w:val="Lined - Accent 2"/>
    <w:basedOn w:val="829"/>
    <w:uiPriority w:val="99"/>
    <w:qFormat/>
    <w:rPr>
      <w:color w:val="404040"/>
    </w:rPr>
    <w:tblPr/>
  </w:style>
  <w:style w:type="table" w:styleId="1067" w:customStyle="1">
    <w:name w:val="Lined - Accent 3"/>
    <w:basedOn w:val="829"/>
    <w:uiPriority w:val="99"/>
    <w:qFormat/>
    <w:rPr>
      <w:color w:val="404040"/>
    </w:rPr>
    <w:tblPr/>
  </w:style>
  <w:style w:type="table" w:styleId="1068" w:customStyle="1">
    <w:name w:val="Lined - Accent 4"/>
    <w:basedOn w:val="829"/>
    <w:uiPriority w:val="99"/>
    <w:qFormat/>
    <w:rPr>
      <w:color w:val="404040"/>
    </w:rPr>
    <w:tblPr/>
  </w:style>
  <w:style w:type="table" w:styleId="1069" w:customStyle="1">
    <w:name w:val="Lined - Accent 5"/>
    <w:basedOn w:val="829"/>
    <w:uiPriority w:val="99"/>
    <w:qFormat/>
    <w:rPr>
      <w:color w:val="404040"/>
    </w:rPr>
    <w:tblPr/>
  </w:style>
  <w:style w:type="table" w:styleId="1070" w:customStyle="1">
    <w:name w:val="Lined - Accent 6"/>
    <w:basedOn w:val="829"/>
    <w:uiPriority w:val="99"/>
    <w:qFormat/>
    <w:rPr>
      <w:color w:val="404040"/>
    </w:rPr>
    <w:tblPr/>
  </w:style>
  <w:style w:type="table" w:styleId="1071" w:customStyle="1">
    <w:name w:val="Bordered &amp; Lined - Accent"/>
    <w:basedOn w:val="829"/>
    <w:uiPriority w:val="99"/>
    <w:qFormat/>
    <w:rPr>
      <w:color w:val="404040"/>
    </w:rPr>
    <w:tblPr/>
  </w:style>
  <w:style w:type="table" w:styleId="1072" w:customStyle="1">
    <w:name w:val="Bordered &amp; Lined - Accent 1"/>
    <w:basedOn w:val="829"/>
    <w:uiPriority w:val="99"/>
    <w:qFormat/>
    <w:rPr>
      <w:color w:val="404040"/>
    </w:rPr>
    <w:tblPr/>
  </w:style>
  <w:style w:type="table" w:styleId="1073" w:customStyle="1">
    <w:name w:val="Bordered &amp; Lined - Accent 2"/>
    <w:basedOn w:val="829"/>
    <w:uiPriority w:val="99"/>
    <w:qFormat/>
    <w:rPr>
      <w:color w:val="404040"/>
    </w:rPr>
    <w:tblPr/>
  </w:style>
  <w:style w:type="table" w:styleId="1074" w:customStyle="1">
    <w:name w:val="Bordered &amp; Lined - Accent 3"/>
    <w:basedOn w:val="829"/>
    <w:uiPriority w:val="99"/>
    <w:qFormat/>
    <w:rPr>
      <w:color w:val="404040"/>
    </w:rPr>
    <w:tblPr/>
  </w:style>
  <w:style w:type="table" w:styleId="1075" w:customStyle="1">
    <w:name w:val="Bordered &amp; Lined - Accent 4"/>
    <w:basedOn w:val="829"/>
    <w:uiPriority w:val="99"/>
    <w:qFormat/>
    <w:rPr>
      <w:color w:val="404040"/>
    </w:rPr>
    <w:tblPr/>
  </w:style>
  <w:style w:type="table" w:styleId="1076" w:customStyle="1">
    <w:name w:val="Bordered &amp; Lined - Accent 5"/>
    <w:basedOn w:val="829"/>
    <w:uiPriority w:val="99"/>
    <w:qFormat/>
    <w:rPr>
      <w:color w:val="404040"/>
    </w:rPr>
    <w:tblPr/>
  </w:style>
  <w:style w:type="table" w:styleId="1077" w:customStyle="1">
    <w:name w:val="Bordered &amp; Lined - Accent 6"/>
    <w:basedOn w:val="829"/>
    <w:uiPriority w:val="99"/>
    <w:qFormat/>
    <w:rPr>
      <w:color w:val="404040"/>
    </w:rPr>
    <w:tblPr/>
  </w:style>
  <w:style w:type="table" w:styleId="1078" w:customStyle="1">
    <w:name w:val="Bordered"/>
    <w:basedOn w:val="829"/>
    <w:uiPriority w:val="99"/>
    <w:qFormat/>
    <w:tblPr/>
  </w:style>
  <w:style w:type="table" w:styleId="1079" w:customStyle="1">
    <w:name w:val="Bordered - Accent 1"/>
    <w:basedOn w:val="829"/>
    <w:uiPriority w:val="99"/>
    <w:qFormat/>
    <w:tblPr/>
  </w:style>
  <w:style w:type="table" w:styleId="1080" w:customStyle="1">
    <w:name w:val="Bordered - Accent 2"/>
    <w:basedOn w:val="829"/>
    <w:uiPriority w:val="99"/>
    <w:qFormat/>
    <w:tblPr/>
  </w:style>
  <w:style w:type="table" w:styleId="1081" w:customStyle="1">
    <w:name w:val="Bordered - Accent 3"/>
    <w:basedOn w:val="829"/>
    <w:uiPriority w:val="99"/>
    <w:qFormat/>
    <w:tblPr/>
  </w:style>
  <w:style w:type="table" w:styleId="1082" w:customStyle="1">
    <w:name w:val="Bordered - Accent 4"/>
    <w:basedOn w:val="829"/>
    <w:uiPriority w:val="99"/>
    <w:qFormat/>
    <w:tblPr/>
  </w:style>
  <w:style w:type="table" w:styleId="1083" w:customStyle="1">
    <w:name w:val="Bordered - Accent 5"/>
    <w:basedOn w:val="829"/>
    <w:uiPriority w:val="99"/>
    <w:qFormat/>
    <w:tblPr/>
  </w:style>
  <w:style w:type="table" w:styleId="1084" w:customStyle="1">
    <w:name w:val="Bordered - Accent 6"/>
    <w:basedOn w:val="829"/>
    <w:uiPriority w:val="99"/>
    <w:qFormat/>
    <w:tblPr/>
  </w:style>
  <w:style w:type="paragraph" w:styleId="1085" w:customStyle="1">
    <w:name w:val="TOC 标题11"/>
    <w:uiPriority w:val="39"/>
    <w:unhideWhenUsed/>
    <w:qFormat/>
    <w:rPr>
      <w:rFonts w:hint="default" w:ascii="Times New Roman" w:hAnsi="Times New Roman" w:eastAsia="宋体" w:cs="Times New Roman"/>
      <w:lang w:val="en-US" w:eastAsia="zh-CN" w:bidi="ar-SA"/>
    </w:rPr>
  </w:style>
  <w:style w:type="paragraph" w:styleId="1086" w:customStyle="1">
    <w:name w:val="Normal_0"/>
    <w:uiPriority w:val="0"/>
    <w:qFormat/>
    <w:rPr>
      <w:rFonts w:hint="default" w:ascii="黑体" w:hAnsi="黑体" w:eastAsia="黑体" w:cs="Times New Roman"/>
      <w:b/>
      <w:sz w:val="32"/>
      <w:szCs w:val="24"/>
      <w:lang w:val="en-US" w:eastAsia="zh-CN" w:bidi="ar-SA"/>
    </w:rPr>
  </w:style>
  <w:style w:type="paragraph" w:styleId="1087" w:customStyle="1">
    <w:name w:val="正文1"/>
    <w:next w:val="820"/>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_3"/>
    <w:uiPriority w:val="0"/>
    <w:qFormat/>
    <w:rPr>
      <w:rFonts w:hint="default" w:ascii="黑体" w:hAnsi="黑体" w:eastAsia="黑体" w:cs="黑体"/>
      <w:b/>
      <w:sz w:val="32"/>
      <w:szCs w:val="24"/>
      <w:lang w:val="en-US" w:eastAsia="zh-CN" w:bidi="ar-SA"/>
    </w:rPr>
  </w:style>
  <w:style w:type="paragraph" w:styleId="1089" w:customStyle="1">
    <w:name w:val="正文首行缩进 2_0"/>
    <w:basedOn w:val="1090"/>
    <w:uiPriority w:val="0"/>
    <w:qFormat/>
    <w:pPr>
      <w:ind w:left="200" w:firstLine="200"/>
      <w:spacing w:after="120"/>
    </w:pPr>
    <w:rPr>
      <w:rFonts w:ascii="Times New Roman" w:hAnsi="Times New Roman"/>
      <w:sz w:val="24"/>
      <w:szCs w:val="24"/>
    </w:rPr>
  </w:style>
  <w:style w:type="paragraph" w:styleId="1090" w:customStyle="1">
    <w:name w:val="正文文本缩进_0"/>
    <w:basedOn w:val="1091"/>
    <w:uiPriority w:val="0"/>
    <w:qFormat/>
    <w:pPr>
      <w:ind w:firstLine="225"/>
    </w:pPr>
    <w:rPr>
      <w:rFonts w:ascii="仿宋_GB2312" w:eastAsia="仿宋_GB2312"/>
      <w:sz w:val="32"/>
    </w:rPr>
  </w:style>
  <w:style w:type="paragraph" w:styleId="1091" w:customStyle="1">
    <w:name w:val="正文_2"/>
    <w:next w:val="109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0_2"/>
    <w:next w:val="1093"/>
    <w:uiPriority w:val="0"/>
    <w:qFormat/>
    <w:rPr>
      <w:rFonts w:hint="default" w:ascii="黑体" w:hAnsi="黑体" w:eastAsia="黑体" w:cs="黑体"/>
      <w:b/>
      <w:sz w:val="32"/>
      <w:szCs w:val="24"/>
      <w:lang w:val="en-US" w:eastAsia="zh-CN" w:bidi="ar-SA"/>
    </w:rPr>
  </w:style>
  <w:style w:type="paragraph" w:styleId="1093" w:customStyle="1">
    <w:name w:val="Body Text First Indent_1"/>
    <w:basedOn w:val="819"/>
    <w:uiPriority w:val="99"/>
    <w:unhideWhenUsed/>
    <w:qFormat/>
    <w:pPr>
      <w:ind w:firstLine="420"/>
      <w:spacing w:after="120"/>
    </w:pPr>
    <w:rPr>
      <w:rFonts w:eastAsia="Times New Roman"/>
      <w:sz w:val="20"/>
    </w:rPr>
  </w:style>
  <w:style w:type="paragraph" w:styleId="109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0_1"/>
    <w:next w:val="1096"/>
    <w:uiPriority w:val="0"/>
    <w:qFormat/>
    <w:rPr>
      <w:rFonts w:hint="default" w:ascii="黑体" w:hAnsi="黑体" w:eastAsia="黑体" w:cs="黑体"/>
      <w:b/>
      <w:sz w:val="32"/>
      <w:szCs w:val="24"/>
      <w:lang w:val="en-US" w:eastAsia="zh-CN" w:bidi="ar-SA"/>
    </w:rPr>
  </w:style>
  <w:style w:type="paragraph" w:styleId="1096" w:customStyle="1">
    <w:name w:val="Body Text First Indent_0"/>
    <w:basedOn w:val="1097"/>
    <w:uiPriority w:val="99"/>
    <w:unhideWhenUsed/>
    <w:qFormat/>
    <w:pPr>
      <w:ind w:firstLine="420"/>
      <w:spacing w:after="120"/>
    </w:pPr>
    <w:rPr>
      <w:rFonts w:eastAsia="Times New Roman"/>
    </w:rPr>
  </w:style>
  <w:style w:type="paragraph" w:styleId="1097" w:customStyle="1">
    <w:name w:val="正文3"/>
    <w:next w:val="1098"/>
    <w:uiPriority w:val="0"/>
    <w:qFormat/>
    <w:rPr>
      <w:rFonts w:hint="default" w:ascii="Times New Roman" w:hAnsi="Times New Roman" w:eastAsia="Times New Roman" w:cs="Times New Roman"/>
      <w:sz w:val="24"/>
      <w:szCs w:val="24"/>
      <w:lang w:val="en-US" w:eastAsia="zh-CN" w:bidi="ar-SA"/>
    </w:rPr>
  </w:style>
  <w:style w:type="paragraph" w:styleId="1098" w:customStyle="1">
    <w:name w:val="正文首行缩进3"/>
    <w:basedOn w:val="1087"/>
    <w:uiPriority w:val="99"/>
    <w:unhideWhenUsed/>
    <w:qFormat/>
    <w:pPr>
      <w:ind w:firstLine="420"/>
      <w:spacing w:after="120"/>
    </w:pPr>
    <w:rPr>
      <w:sz w:val="20"/>
    </w:rPr>
  </w:style>
  <w:style w:type="paragraph" w:styleId="1099" w:customStyle="1">
    <w:name w:val="Normal_1_1"/>
    <w:uiPriority w:val="0"/>
    <w:qFormat/>
    <w:rPr>
      <w:rFonts w:hint="default" w:ascii="黑体" w:hAnsi="黑体" w:eastAsia="黑体" w:cs="黑体"/>
      <w:b/>
      <w:sz w:val="32"/>
      <w:szCs w:val="24"/>
      <w:lang w:val="en-US" w:eastAsia="zh-CN" w:bidi="ar-SA"/>
    </w:rPr>
  </w:style>
  <w:style w:type="paragraph" w:styleId="110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Normal_2_0"/>
    <w:uiPriority w:val="0"/>
    <w:qFormat/>
    <w:rPr>
      <w:rFonts w:hint="default" w:ascii="黑体" w:hAnsi="黑体" w:eastAsia="黑体" w:cs="黑体"/>
      <w:b/>
      <w:sz w:val="32"/>
      <w:szCs w:val="24"/>
      <w:lang w:val="en-US" w:eastAsia="zh-CN" w:bidi="ar-SA"/>
    </w:rPr>
  </w:style>
  <w:style w:type="paragraph" w:styleId="110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Normal_4_0"/>
    <w:uiPriority w:val="0"/>
    <w:qFormat/>
    <w:rPr>
      <w:rFonts w:hint="default" w:ascii="黑体" w:hAnsi="黑体" w:eastAsia="黑体" w:cs="黑体"/>
      <w:b/>
      <w:sz w:val="32"/>
      <w:szCs w:val="24"/>
      <w:lang w:val="en-US" w:eastAsia="zh-CN" w:bidi="ar-SA"/>
    </w:rPr>
  </w:style>
  <w:style w:type="paragraph" w:styleId="110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6_0"/>
    <w:uiPriority w:val="0"/>
    <w:qFormat/>
    <w:rPr>
      <w:rFonts w:hint="default" w:ascii="黑体" w:hAnsi="黑体" w:eastAsia="黑体" w:cs="黑体"/>
      <w:b/>
      <w:sz w:val="32"/>
      <w:szCs w:val="24"/>
      <w:lang w:val="en-US" w:eastAsia="zh-CN" w:bidi="ar-SA"/>
    </w:rPr>
  </w:style>
  <w:style w:type="paragraph" w:styleId="110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0" w:customStyle="1">
    <w:name w:val="Normal_7_0"/>
    <w:uiPriority w:val="0"/>
    <w:qFormat/>
    <w:rPr>
      <w:rFonts w:hint="default" w:ascii="黑体" w:hAnsi="黑体" w:eastAsia="黑体" w:cs="黑体"/>
      <w:b/>
      <w:sz w:val="32"/>
      <w:szCs w:val="24"/>
      <w:lang w:val="en-US" w:eastAsia="zh-CN" w:bidi="ar-SA"/>
    </w:rPr>
  </w:style>
  <w:style w:type="paragraph" w:styleId="111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10_0"/>
    <w:uiPriority w:val="0"/>
    <w:qFormat/>
    <w:rPr>
      <w:rFonts w:hint="default" w:ascii="黑体" w:hAnsi="黑体" w:eastAsia="黑体" w:cs="黑体"/>
      <w:b/>
      <w:sz w:val="32"/>
      <w:szCs w:val="24"/>
      <w:lang w:val="en-US" w:eastAsia="zh-CN" w:bidi="ar-SA"/>
    </w:rPr>
  </w:style>
  <w:style w:type="paragraph" w:styleId="1114" w:customStyle="1">
    <w:name w:val="正文_3"/>
    <w:next w:val="1115"/>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首行缩进 2_1"/>
    <w:basedOn w:val="1116"/>
    <w:next w:val="1118"/>
    <w:uiPriority w:val="0"/>
    <w:qFormat/>
    <w:pPr>
      <w:ind w:left="200" w:firstLine="200"/>
      <w:spacing w:after="120"/>
    </w:pPr>
    <w:rPr>
      <w:rFonts w:ascii="Times New Roman"/>
      <w:szCs w:val="24"/>
    </w:rPr>
  </w:style>
  <w:style w:type="paragraph" w:styleId="1116" w:customStyle="1">
    <w:name w:val="正文文本缩进_1"/>
    <w:basedOn w:val="1117"/>
    <w:next w:val="1115"/>
    <w:uiPriority w:val="0"/>
    <w:qFormat/>
    <w:pPr>
      <w:ind w:firstLine="225"/>
    </w:pPr>
    <w:rPr>
      <w:rFonts w:ascii="仿宋_GB2312" w:eastAsia="仿宋_GB2312"/>
      <w:sz w:val="32"/>
    </w:rPr>
  </w:style>
  <w:style w:type="paragraph" w:styleId="1117" w:customStyle="1">
    <w:name w:val="正文_18"/>
    <w:next w:val="1116"/>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xl53_0"/>
    <w:next w:val="111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Normal_11_0"/>
    <w:uiPriority w:val="0"/>
    <w:qFormat/>
    <w:rPr>
      <w:rFonts w:hint="default" w:ascii="黑体" w:hAnsi="黑体" w:eastAsia="黑体" w:cs="黑体"/>
      <w:b/>
      <w:sz w:val="32"/>
      <w:szCs w:val="24"/>
      <w:lang w:val="en-US" w:eastAsia="zh-CN" w:bidi="ar-SA"/>
    </w:rPr>
  </w:style>
  <w:style w:type="paragraph" w:styleId="112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列出段落_2"/>
    <w:basedOn w:val="1123"/>
    <w:uiPriority w:val="34"/>
    <w:qFormat/>
    <w:pPr>
      <w:ind w:firstLine="420"/>
    </w:pPr>
  </w:style>
  <w:style w:type="paragraph" w:styleId="1126" w:customStyle="1">
    <w:name w:val="Normal_13_0"/>
    <w:uiPriority w:val="0"/>
    <w:qFormat/>
    <w:rPr>
      <w:rFonts w:hint="default" w:ascii="黑体" w:hAnsi="黑体" w:eastAsia="黑体" w:cs="黑体"/>
      <w:b/>
      <w:sz w:val="32"/>
      <w:szCs w:val="24"/>
      <w:lang w:val="en-US" w:eastAsia="zh-CN" w:bidi="ar-SA"/>
    </w:rPr>
  </w:style>
  <w:style w:type="paragraph" w:styleId="112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纯文本_0_0"/>
    <w:basedOn w:val="1127"/>
    <w:uiPriority w:val="0"/>
    <w:unhideWhenUsed/>
    <w:qFormat/>
    <w:rPr>
      <w:rFonts w:ascii="宋体" w:hAnsi="Courier New"/>
      <w:szCs w:val="21"/>
    </w:rPr>
  </w:style>
  <w:style w:type="paragraph" w:styleId="112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Normal_14_0"/>
    <w:uiPriority w:val="0"/>
    <w:qFormat/>
    <w:rPr>
      <w:rFonts w:hint="default" w:ascii="黑体" w:hAnsi="黑体" w:eastAsia="黑体" w:cs="黑体"/>
      <w:b/>
      <w:sz w:val="32"/>
      <w:szCs w:val="24"/>
      <w:lang w:val="en-US" w:eastAsia="zh-CN" w:bidi="ar-SA"/>
    </w:rPr>
  </w:style>
  <w:style w:type="paragraph" w:styleId="113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15_0"/>
    <w:uiPriority w:val="0"/>
    <w:qFormat/>
    <w:rPr>
      <w:rFonts w:hint="default" w:ascii="黑体" w:hAnsi="黑体" w:eastAsia="黑体" w:cs="黑体"/>
      <w:b/>
      <w:sz w:val="32"/>
      <w:szCs w:val="24"/>
      <w:lang w:val="en-US" w:eastAsia="zh-CN" w:bidi="ar-SA"/>
    </w:rPr>
  </w:style>
  <w:style w:type="paragraph" w:styleId="113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16_0"/>
    <w:uiPriority w:val="0"/>
    <w:qFormat/>
    <w:rPr>
      <w:rFonts w:hint="default" w:ascii="黑体" w:hAnsi="黑体" w:eastAsia="黑体" w:cs="黑体"/>
      <w:b/>
      <w:sz w:val="32"/>
      <w:szCs w:val="24"/>
      <w:lang w:val="en-US" w:eastAsia="zh-CN" w:bidi="ar-SA"/>
    </w:rPr>
  </w:style>
  <w:style w:type="paragraph" w:styleId="113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Normal_17_0"/>
    <w:uiPriority w:val="0"/>
    <w:qFormat/>
    <w:rPr>
      <w:rFonts w:hint="default" w:ascii="黑体" w:hAnsi="黑体" w:eastAsia="黑体" w:cs="黑体"/>
      <w:b/>
      <w:sz w:val="32"/>
      <w:szCs w:val="24"/>
      <w:lang w:val="en-US" w:eastAsia="zh-CN" w:bidi="ar-SA"/>
    </w:rPr>
  </w:style>
  <w:style w:type="paragraph" w:styleId="113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Normal_18_0"/>
    <w:uiPriority w:val="0"/>
    <w:qFormat/>
    <w:rPr>
      <w:rFonts w:hint="default" w:ascii="黑体" w:hAnsi="黑体" w:eastAsia="黑体" w:cs="黑体"/>
      <w:b/>
      <w:sz w:val="32"/>
      <w:szCs w:val="24"/>
      <w:lang w:val="en-US" w:eastAsia="zh-CN" w:bidi="ar-SA"/>
    </w:rPr>
  </w:style>
  <w:style w:type="paragraph" w:styleId="114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Normal_14_0_0"/>
    <w:uiPriority w:val="0"/>
    <w:qFormat/>
    <w:rPr>
      <w:rFonts w:hint="default" w:ascii="黑体" w:hAnsi="黑体" w:eastAsia="黑体" w:cs="Times New Roman"/>
      <w:b/>
      <w:sz w:val="32"/>
      <w:szCs w:val="24"/>
      <w:lang w:val="en-US" w:eastAsia="zh-CN" w:bidi="ar-SA"/>
    </w:rPr>
  </w:style>
  <w:style w:type="paragraph" w:styleId="114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Normal Indent_0"/>
    <w:basedOn w:val="908"/>
    <w:uiPriority w:val="0"/>
    <w:qFormat/>
    <w:pPr>
      <w:ind w:firstLine="420"/>
    </w:pPr>
    <w:rPr>
      <w:rFonts w:ascii="宋体" w:eastAsia="Times New Roman"/>
      <w:color w:val="000000"/>
      <w:sz w:val="24"/>
      <w:szCs w:val="20"/>
    </w:rPr>
  </w:style>
  <w:style w:type="paragraph" w:styleId="1150" w:customStyle="1">
    <w:name w:val="Heading 3_0"/>
    <w:basedOn w:val="908"/>
    <w:next w:val="908"/>
    <w:uiPriority w:val="0"/>
    <w:qFormat/>
    <w:pPr>
      <w:keepLines/>
      <w:keepNext/>
      <w:spacing w:before="260" w:after="260" w:line="413" w:lineRule="auto"/>
      <w:outlineLvl w:val="2"/>
    </w:pPr>
    <w:rPr>
      <w:rFonts w:ascii="Times New Roman" w:hAnsi="Times New Roman" w:eastAsia="Times New Roman"/>
      <w:szCs w:val="20"/>
    </w:rPr>
  </w:style>
  <w:style w:type="paragraph" w:styleId="11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2"/>
    <w:basedOn w:val="776"/>
    <w:uiPriority w:val="0"/>
    <w:qFormat/>
    <w:pPr>
      <w:ind w:firstLine="510"/>
      <w:spacing w:before="156" w:line="360" w:lineRule="auto"/>
    </w:pPr>
    <w:rPr>
      <w:sz w:val="24"/>
      <w:szCs w:val="20"/>
    </w:rPr>
  </w:style>
  <w:style w:type="paragraph" w:styleId="115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55" w:customStyle="1">
    <w:name w:val="Normal_19_1_0"/>
    <w:next w:val="1156"/>
    <w:uiPriority w:val="0"/>
    <w:qFormat/>
    <w:pPr>
      <w:jc w:val="both"/>
      <w:widowControl w:val="off"/>
    </w:pPr>
    <w:rPr>
      <w:rFonts w:hint="default" w:ascii="Calibri" w:hAnsi="Calibri" w:eastAsia="宋体" w:cs="Times New Roman"/>
      <w:szCs w:val="24"/>
      <w:lang w:val="en-US" w:eastAsia="zh-CN" w:bidi="ar-SA"/>
    </w:rPr>
  </w:style>
  <w:style w:type="paragraph" w:styleId="1156" w:customStyle="1">
    <w:name w:val="正文_16_0"/>
    <w:basedOn w:val="1117"/>
    <w:next w:val="1115"/>
    <w:uiPriority w:val="0"/>
    <w:qFormat/>
    <w:rPr>
      <w:rFonts w:ascii="Times New Roman" w:hAnsi="Times New Roman"/>
    </w:rPr>
  </w:style>
  <w:style w:type="paragraph" w:styleId="1157" w:customStyle="1">
    <w:name w:val="Normal_19_0"/>
    <w:basedOn w:val="817"/>
    <w:next w:val="1158"/>
    <w:uiPriority w:val="0"/>
    <w:qFormat/>
    <w:rPr>
      <w:szCs w:val="24"/>
    </w:rPr>
  </w:style>
  <w:style w:type="paragraph" w:styleId="1158" w:customStyle="1">
    <w:name w:val="Body Text First Indent_1_0"/>
    <w:basedOn w:val="1157"/>
    <w:uiPriority w:val="0"/>
    <w:qFormat/>
    <w:pPr>
      <w:ind w:firstLine="100"/>
      <w:spacing w:after="120"/>
    </w:pPr>
  </w:style>
  <w:style w:type="paragraph" w:styleId="1159" w:customStyle="1">
    <w:name w:val="Body Text_0"/>
    <w:basedOn w:val="1157"/>
    <w:uiPriority w:val="0"/>
    <w:qFormat/>
    <w:pPr>
      <w:spacing w:line="60" w:lineRule="auto"/>
    </w:pPr>
    <w:rPr>
      <w:rFonts w:ascii="仿宋_GB2312" w:eastAsia="仿宋_GB2312"/>
      <w:sz w:val="32"/>
    </w:rPr>
  </w:style>
  <w:style w:type="paragraph" w:styleId="1160" w:customStyle="1">
    <w:name w:val="Normal_19_1"/>
    <w:next w:val="908"/>
    <w:uiPriority w:val="0"/>
    <w:qFormat/>
    <w:pPr>
      <w:jc w:val="both"/>
      <w:widowControl w:val="off"/>
    </w:pPr>
    <w:rPr>
      <w:rFonts w:hint="default" w:ascii="Calibri" w:hAnsi="Calibri" w:eastAsia="宋体" w:cs="Times New Roman"/>
      <w:szCs w:val="24"/>
      <w:lang w:val="en-US" w:eastAsia="zh-CN" w:bidi="ar-SA"/>
    </w:rPr>
  </w:style>
  <w:style w:type="paragraph" w:styleId="116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6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63" w:customStyle="1">
    <w:name w:val="正文1_1"/>
    <w:basedOn w:val="1111"/>
    <w:uiPriority w:val="0"/>
    <w:qFormat/>
    <w:pPr>
      <w:jc w:val="both"/>
      <w:widowControl w:val="off"/>
    </w:pPr>
    <w:rPr>
      <w:sz w:val="20"/>
      <w:szCs w:val="20"/>
    </w:rPr>
  </w:style>
  <w:style w:type="paragraph" w:styleId="116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6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66" w:customStyle="1">
    <w:name w:val="Normal_16_1"/>
    <w:uiPriority w:val="0"/>
    <w:qFormat/>
    <w:rPr>
      <w:rFonts w:hint="default" w:ascii="黑体" w:hAnsi="黑体" w:eastAsia="黑体" w:cs="Times New Roman"/>
      <w:b/>
      <w:sz w:val="32"/>
      <w:szCs w:val="24"/>
      <w:lang w:val="en-US" w:eastAsia="zh-CN" w:bidi="ar-SA"/>
    </w:rPr>
  </w:style>
  <w:style w:type="paragraph" w:styleId="1167" w:customStyle="1">
    <w:name w:val="Normal_19_0_1"/>
    <w:uiPriority w:val="0"/>
    <w:qFormat/>
    <w:rPr>
      <w:rFonts w:hint="default" w:ascii="Tahoma" w:hAnsi="Tahoma" w:eastAsia="微软雅黑" w:cs="Times New Roman"/>
      <w:lang w:val="en-US" w:eastAsia="zh-CN" w:bidi="ar-SA"/>
    </w:rPr>
  </w:style>
  <w:style w:type="paragraph" w:styleId="116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Normal_17_0_0"/>
    <w:uiPriority w:val="0"/>
    <w:qFormat/>
    <w:rPr>
      <w:rFonts w:hint="default" w:ascii="黑体" w:hAnsi="黑体" w:eastAsia="黑体" w:cs="Times New Roman"/>
      <w:b/>
      <w:sz w:val="32"/>
      <w:szCs w:val="24"/>
      <w:lang w:val="en-US" w:eastAsia="zh-CN" w:bidi="ar-SA"/>
    </w:rPr>
  </w:style>
  <w:style w:type="paragraph" w:styleId="1171" w:customStyle="1">
    <w:name w:val="Normal_19_0_1_0"/>
    <w:uiPriority w:val="0"/>
    <w:qFormat/>
    <w:rPr>
      <w:rFonts w:hint="default" w:ascii="Tahoma" w:hAnsi="Tahoma" w:eastAsia="微软雅黑" w:cs="Times New Roman"/>
      <w:lang w:val="en-US" w:eastAsia="zh-CN" w:bidi="ar-SA"/>
    </w:rPr>
  </w:style>
  <w:style w:type="paragraph" w:styleId="1172" w:customStyle="1">
    <w:name w:val="Normal_19_3"/>
    <w:next w:val="1173"/>
    <w:uiPriority w:val="0"/>
    <w:qFormat/>
    <w:pPr>
      <w:jc w:val="both"/>
      <w:widowControl w:val="off"/>
    </w:pPr>
    <w:rPr>
      <w:rFonts w:hint="default" w:ascii="Calibri" w:hAnsi="Calibri" w:eastAsia="Times New Roman" w:cs="Times New Roman"/>
      <w:szCs w:val="24"/>
      <w:lang w:val="en-US" w:eastAsia="zh-CN" w:bidi="ar-SA"/>
    </w:rPr>
  </w:style>
  <w:style w:type="paragraph" w:styleId="117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75" w:customStyle="1">
    <w:name w:val="custom-tag-placeholder-class"/>
    <w:link w:val="776"/>
    <w:uiPriority w:val="0"/>
    <w:qFormat/>
  </w:style>
  <w:style w:type="paragraph" w:styleId="1176" w:customStyle="1">
    <w:name w:val="Normal_19_0_0"/>
    <w:basedOn w:val="908"/>
    <w:next w:val="1177"/>
    <w:uiPriority w:val="0"/>
    <w:qFormat/>
    <w:rPr>
      <w:rFonts w:ascii="Calibri" w:hAnsi="Calibri" w:eastAsia="Times New Roman"/>
      <w:sz w:val="24"/>
    </w:rPr>
  </w:style>
  <w:style w:type="paragraph" w:styleId="1177" w:customStyle="1">
    <w:name w:val="Body Text First Indent_1_0_0"/>
    <w:basedOn w:val="1176"/>
    <w:uiPriority w:val="0"/>
    <w:qFormat/>
    <w:pPr>
      <w:ind w:firstLine="100"/>
      <w:spacing w:after="120"/>
    </w:pPr>
    <w:rPr>
      <w:rFonts w:eastAsia="Times New Roman"/>
    </w:rPr>
  </w:style>
  <w:style w:type="paragraph" w:styleId="1178" w:customStyle="1">
    <w:name w:val="正文首行缩进1"/>
    <w:basedOn w:val="1179"/>
    <w:uiPriority w:val="0"/>
    <w:qFormat/>
    <w:pPr>
      <w:ind w:firstLine="100"/>
      <w:spacing w:after="120" w:line="240" w:lineRule="auto"/>
    </w:pPr>
    <w:rPr>
      <w:rFonts w:ascii="Times New Roman" w:hAnsi="Times New Roman" w:eastAsia="宋体"/>
      <w:sz w:val="21"/>
    </w:rPr>
  </w:style>
  <w:style w:type="paragraph" w:styleId="1179" w:customStyle="1">
    <w:name w:val="正文文本1"/>
    <w:basedOn w:val="776"/>
    <w:uiPriority w:val="0"/>
    <w:qFormat/>
    <w:pPr>
      <w:spacing w:line="60" w:lineRule="auto"/>
    </w:pPr>
    <w:rPr>
      <w:rFonts w:ascii="仿宋_GB2312" w:eastAsia="仿宋_GB2312"/>
      <w:sz w:val="32"/>
    </w:rPr>
  </w:style>
  <w:style w:type="paragraph" w:styleId="118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List Paragraph_0"/>
    <w:basedOn w:val="1091"/>
    <w:uiPriority w:val="0"/>
    <w:qFormat/>
    <w:pPr>
      <w:ind w:firstLine="420"/>
    </w:pPr>
  </w:style>
  <w:style w:type="paragraph" w:styleId="1182" w:customStyle="1">
    <w:name w:val="纯文本_1"/>
    <w:basedOn w:val="1180"/>
    <w:uiPriority w:val="0"/>
    <w:qFormat/>
    <w:rPr>
      <w:rFonts w:ascii="宋体" w:hAnsi="Times New Roman"/>
      <w:sz w:val="20"/>
      <w:szCs w:val="21"/>
    </w:rPr>
  </w:style>
  <w:style w:type="paragraph" w:styleId="1183" w:customStyle="1">
    <w:name w:val="正文_16_0_0"/>
    <w:next w:val="953"/>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_11_0"/>
    <w:basedOn w:val="953"/>
    <w:uiPriority w:val="0"/>
    <w:qFormat/>
    <w:rPr>
      <w:rFonts w:ascii="Calibri" w:hAnsi="Calibri"/>
      <w:szCs w:val="20"/>
    </w:rPr>
  </w:style>
  <w:style w:type="paragraph" w:styleId="1185" w:customStyle="1">
    <w:name w:val="Normal_19_0_0_0"/>
    <w:basedOn w:val="817"/>
    <w:uiPriority w:val="0"/>
    <w:qFormat/>
    <w:rPr>
      <w:rFonts w:cs="黑体"/>
      <w:szCs w:val="24"/>
    </w:rPr>
  </w:style>
  <w:style w:type="paragraph" w:styleId="1186" w:customStyle="1">
    <w:name w:val="无间隔1"/>
    <w:basedOn w:val="1097"/>
    <w:uiPriority w:val="0"/>
    <w:qFormat/>
    <w:rPr>
      <w:rFonts w:ascii="Calibri" w:hAnsi="Calibri" w:cs="Calibri"/>
    </w:rPr>
  </w:style>
  <w:style w:type="paragraph" w:styleId="1187" w:customStyle="1">
    <w:name w:val="标题 31"/>
    <w:basedOn w:val="1097"/>
    <w:next w:val="1097"/>
    <w:uiPriority w:val="0"/>
    <w:qFormat/>
    <w:pPr>
      <w:keepLines/>
      <w:keepNext/>
      <w:spacing w:before="260" w:after="260" w:line="413" w:lineRule="auto"/>
      <w:outlineLvl w:val="2"/>
    </w:pPr>
    <w:rPr>
      <w:b/>
      <w:sz w:val="32"/>
      <w:szCs w:val="20"/>
    </w:rPr>
  </w:style>
  <w:style w:type="character" w:styleId="1188" w:customStyle="1">
    <w:name w:val="标题 2 Char_0"/>
    <w:link w:val="1189"/>
    <w:uiPriority w:val="0"/>
    <w:qFormat/>
    <w:rPr>
      <w:rFonts w:ascii="Arial" w:hAnsi="Arial" w:eastAsia="黑体"/>
      <w:b/>
      <w:sz w:val="32"/>
      <w:szCs w:val="22"/>
    </w:rPr>
  </w:style>
  <w:style w:type="paragraph" w:styleId="1189" w:customStyle="1">
    <w:name w:val="标题 21"/>
    <w:basedOn w:val="818"/>
    <w:next w:val="818"/>
    <w:link w:val="1188"/>
    <w:uiPriority w:val="0"/>
    <w:unhideWhenUsed/>
    <w:qFormat/>
    <w:pPr>
      <w:keepLines/>
      <w:keepNext/>
      <w:spacing w:before="260" w:after="260" w:line="413" w:lineRule="auto"/>
      <w:outlineLvl w:val="1"/>
    </w:pPr>
    <w:rPr>
      <w:rFonts w:ascii="Arial" w:hAnsi="Arial"/>
      <w:szCs w:val="22"/>
    </w:rPr>
  </w:style>
  <w:style w:type="paragraph" w:styleId="1190" w:customStyle="1">
    <w:name w:val="Normal_19_1_0_0"/>
    <w:next w:val="1191"/>
    <w:uiPriority w:val="0"/>
    <w:qFormat/>
    <w:pPr>
      <w:jc w:val="both"/>
      <w:widowControl w:val="off"/>
    </w:pPr>
    <w:rPr>
      <w:rFonts w:hint="default" w:ascii="Calibri" w:hAnsi="Calibri" w:eastAsia="宋体" w:cs="Times New Roman"/>
      <w:sz w:val="21"/>
      <w:szCs w:val="24"/>
      <w:lang w:val="en-US" w:eastAsia="zh-CN" w:bidi="ar-SA"/>
    </w:rPr>
  </w:style>
  <w:style w:type="paragraph" w:styleId="119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正文1_0_0"/>
    <w:basedOn w:val="818"/>
    <w:uiPriority w:val="0"/>
    <w:qFormat/>
    <w:pPr>
      <w:ind w:left="357" w:firstLine="420"/>
      <w:spacing w:line="360" w:lineRule="auto"/>
    </w:pPr>
    <w:rPr>
      <w:rFonts w:eastAsia="Times New Roman" w:cs="Arial"/>
    </w:rPr>
  </w:style>
  <w:style w:type="paragraph" w:styleId="1193"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194" w:customStyle="1">
    <w:name w:val="正文空2字"/>
    <w:basedOn w:val="1195"/>
    <w:uiPriority w:val="99"/>
    <w:qFormat/>
    <w:pPr>
      <w:ind w:firstLine="640"/>
      <w:spacing w:line="560" w:lineRule="exact"/>
      <w:widowControl w:val="off"/>
    </w:pPr>
    <w:rPr>
      <w:rFonts w:ascii="仿宋_GB2312" w:hAnsi="仿宋_GB2312" w:cs="仿宋_GB2312"/>
      <w:lang w:val="zh-TW"/>
    </w:rPr>
  </w:style>
  <w:style w:type="paragraph" w:styleId="1195" w:customStyle="1">
    <w:name w:val="左对齐正文"/>
    <w:uiPriority w:val="99"/>
    <w:qFormat/>
    <w:rPr>
      <w:rFonts w:hint="default" w:ascii="Calibri" w:hAnsi="Calibri" w:eastAsia="仿宋_GB2312" w:cs="Calibri"/>
      <w:sz w:val="32"/>
      <w:szCs w:val="32"/>
      <w:lang w:val="en-US" w:eastAsia="zh-CN" w:bidi="ar-SA"/>
    </w:rPr>
  </w:style>
  <w:style w:type="paragraph" w:styleId="1196" w:customStyle="1">
    <w:name w:val="普通(网站)1"/>
    <w:basedOn w:val="776"/>
    <w:uiPriority w:val="0"/>
    <w:qFormat/>
    <w:rPr>
      <w:sz w:val="24"/>
    </w:rPr>
  </w:style>
  <w:style w:type="character" w:styleId="1197" w:customStyle="1">
    <w:name w:val="16"/>
    <w:link w:val="776"/>
    <w:uiPriority w:val="0"/>
    <w:qFormat/>
    <w:rPr>
      <w:rFonts w:ascii="Times New Roman" w:hAnsi="Times New Roman"/>
      <w:sz w:val="21"/>
      <w:szCs w:val="21"/>
      <w:lang w:val="en-US" w:eastAsia="zh-CN" w:bidi="ar-SA"/>
    </w:rPr>
  </w:style>
  <w:style w:type="paragraph" w:styleId="1198" w:customStyle="1">
    <w:name w:val="正文文本_0"/>
    <w:basedOn w:val="1091"/>
    <w:next w:val="1199"/>
    <w:uiPriority w:val="0"/>
    <w:qFormat/>
    <w:pPr>
      <w:spacing w:line="60" w:lineRule="auto"/>
    </w:pPr>
    <w:rPr>
      <w:rFonts w:ascii="仿宋_GB2312" w:eastAsia="仿宋_GB2312"/>
      <w:sz w:val="32"/>
    </w:rPr>
  </w:style>
  <w:style w:type="paragraph" w:styleId="1199" w:customStyle="1">
    <w:name w:val="正文缩进_1"/>
    <w:basedOn w:val="1091"/>
    <w:next w:val="1091"/>
    <w:uiPriority w:val="0"/>
    <w:qFormat/>
    <w:pPr>
      <w:ind w:firstLine="420"/>
    </w:pPr>
    <w:rPr>
      <w:rFonts w:ascii="宋体"/>
      <w:color w:val="000000"/>
      <w:sz w:val="24"/>
      <w:szCs w:val="20"/>
    </w:rPr>
  </w:style>
  <w:style w:type="paragraph" w:styleId="1200" w:customStyle="1">
    <w:name w:val="Table Paragraph"/>
    <w:basedOn w:val="908"/>
    <w:uiPriority w:val="1"/>
    <w:qFormat/>
    <w:rPr>
      <w:rFonts w:ascii="宋体" w:hAnsi="宋体" w:cs="宋体"/>
      <w:sz w:val="22"/>
      <w:lang w:val="zh-CN" w:bidi="zh-CN"/>
    </w:rPr>
  </w:style>
  <w:style w:type="paragraph" w:styleId="1201" w:customStyle="1">
    <w:name w:val="Normal_19_2"/>
    <w:basedOn w:val="1202"/>
    <w:uiPriority w:val="0"/>
    <w:qFormat/>
    <w:rPr>
      <w:rFonts w:ascii="Times New Roman" w:hAnsi="Times New Roman"/>
      <w:szCs w:val="21"/>
    </w:rPr>
  </w:style>
  <w:style w:type="paragraph" w:styleId="120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正文文本2"/>
    <w:basedOn w:val="951"/>
    <w:uiPriority w:val="0"/>
    <w:qFormat/>
    <w:pPr>
      <w:spacing w:line="60" w:lineRule="auto"/>
    </w:pPr>
    <w:rPr>
      <w:rFonts w:ascii="仿宋_GB2312" w:eastAsia="仿宋_GB2312"/>
      <w:sz w:val="32"/>
      <w:szCs w:val="22"/>
    </w:rPr>
  </w:style>
  <w:style w:type="paragraph" w:styleId="1204" w:customStyle="1">
    <w:name w:val="正文1_0"/>
    <w:basedOn w:val="1180"/>
    <w:uiPriority w:val="0"/>
    <w:qFormat/>
    <w:pPr>
      <w:ind w:left="357" w:firstLine="420"/>
      <w:jc w:val="left"/>
      <w:spacing w:line="360" w:lineRule="auto"/>
      <w:widowControl/>
    </w:pPr>
    <w:rPr>
      <w:rFonts w:cs="Arial"/>
      <w:szCs w:val="20"/>
    </w:rPr>
  </w:style>
  <w:style w:type="paragraph" w:styleId="1205" w:customStyle="1">
    <w:name w:val="Normal_19_2_0"/>
    <w:basedOn w:val="1206"/>
    <w:uiPriority w:val="0"/>
    <w:qFormat/>
    <w:rPr>
      <w:rFonts w:ascii="Times New Roman" w:hAnsi="Times New Roman"/>
      <w:szCs w:val="21"/>
    </w:rPr>
  </w:style>
  <w:style w:type="paragraph" w:styleId="120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正文缩进1"/>
    <w:basedOn w:val="776"/>
    <w:uiPriority w:val="0"/>
    <w:qFormat/>
    <w:pPr>
      <w:ind w:firstLine="420"/>
      <w:jc w:val="left"/>
    </w:pPr>
    <w:rPr>
      <w:rFonts w:ascii="宋体" w:hAnsi="Calibri" w:eastAsia="宋体" w:cs="Times New Roman"/>
      <w:sz w:val="24"/>
    </w:rPr>
  </w:style>
  <w:style w:type="paragraph" w:styleId="1208" w:customStyle="1">
    <w:name w:val="纯文本1"/>
    <w:basedOn w:val="952"/>
    <w:uiPriority w:val="0"/>
    <w:qFormat/>
    <w:rPr>
      <w:rFonts w:ascii="宋体" w:hAnsi="Courier New" w:eastAsia="宋体" w:cs="Times New Roman"/>
    </w:rPr>
  </w:style>
  <w:style w:type="paragraph" w:styleId="1209" w:customStyle="1">
    <w:name w:val="Normal_21_0"/>
    <w:next w:val="12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Heading 1_0"/>
    <w:basedOn w:val="1209"/>
    <w:next w:val="1209"/>
    <w:uiPriority w:val="0"/>
    <w:qFormat/>
    <w:pPr>
      <w:jc w:val="center"/>
      <w:keepLines/>
      <w:keepNext/>
      <w:spacing w:before="240" w:after="120" w:line="300" w:lineRule="auto"/>
      <w:outlineLvl w:val="0"/>
    </w:pPr>
    <w:rPr>
      <w:rFonts w:ascii="宋体"/>
      <w:b/>
      <w:sz w:val="32"/>
      <w:szCs w:val="20"/>
    </w:rPr>
  </w:style>
  <w:style w:type="paragraph" w:styleId="121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2" w:customStyle="1">
    <w:name w:val="正文文本 字符"/>
    <w:link w:val="776"/>
    <w:uiPriority w:val="0"/>
    <w:qFormat/>
    <w:rPr>
      <w:rFonts w:ascii="楷体_GB2312" w:hAnsi="Arial" w:eastAsia="楷体_GB2312" w:cs="Times New Roman"/>
      <w:sz w:val="28"/>
      <w:szCs w:val="28"/>
    </w:rPr>
  </w:style>
  <w:style w:type="character" w:styleId="1213" w:customStyle="1">
    <w:name w:val="正文文本缩进 字符"/>
    <w:link w:val="776"/>
    <w:uiPriority w:val="0"/>
    <w:qFormat/>
    <w:rPr>
      <w:rFonts w:ascii="楷体_GB2312" w:hAnsi="Times New Roman" w:eastAsia="楷体_GB2312" w:cs="Times New Roman"/>
      <w:sz w:val="32"/>
      <w:szCs w:val="32"/>
    </w:rPr>
  </w:style>
  <w:style w:type="character" w:styleId="1214" w:customStyle="1">
    <w:name w:val="正文文本 字符1"/>
    <w:link w:val="776"/>
    <w:uiPriority w:val="0"/>
    <w:qFormat/>
    <w:rPr>
      <w:rFonts w:ascii="Calibri" w:hAnsi="Calibri"/>
      <w:sz w:val="28"/>
      <w:szCs w:val="24"/>
    </w:rPr>
  </w:style>
  <w:style w:type="character" w:styleId="1215" w:customStyle="1">
    <w:name w:val="正文文本首行缩进 字符"/>
    <w:link w:val="776"/>
    <w:uiPriority w:val="0"/>
    <w:qFormat/>
    <w:rPr>
      <w:rFonts w:ascii="仿宋_GB2312" w:hAnsi="Calibri" w:eastAsia="仿宋_GB2312"/>
      <w:sz w:val="30"/>
      <w:szCs w:val="30"/>
    </w:rPr>
  </w:style>
  <w:style w:type="paragraph" w:styleId="1216" w:customStyle="1">
    <w:name w:val="索引 41"/>
    <w:basedOn w:val="776"/>
    <w:next w:val="776"/>
    <w:uiPriority w:val="0"/>
    <w:semiHidden/>
    <w:qFormat/>
    <w:pPr>
      <w:ind w:left="1260"/>
    </w:pPr>
    <w:rPr>
      <w:rFonts w:eastAsia="Calibri" w:cs="宋体"/>
      <w:sz w:val="20"/>
      <w:szCs w:val="21"/>
      <w:lang w:val="zh-CN"/>
    </w:rPr>
  </w:style>
  <w:style w:type="character" w:styleId="1217" w:customStyle="1">
    <w:name w:val="font5 Char"/>
    <w:link w:val="776"/>
    <w:uiPriority w:val="0"/>
    <w:qFormat/>
    <w:rPr>
      <w:rFonts w:ascii="宋体" w:hAnsi="宋体" w:eastAsia="宋体"/>
      <w:sz w:val="28"/>
      <w:szCs w:val="28"/>
      <w:lang w:val="en-US" w:eastAsia="zh-CN" w:bidi="ar-SA"/>
    </w:rPr>
  </w:style>
  <w:style w:type="character" w:styleId="1218" w:customStyle="1">
    <w:name w:val="二级目录 Char"/>
    <w:link w:val="1219"/>
    <w:uiPriority w:val="0"/>
    <w:qFormat/>
    <w:rPr>
      <w:b/>
      <w:sz w:val="30"/>
      <w:szCs w:val="28"/>
    </w:rPr>
  </w:style>
  <w:style w:type="paragraph" w:styleId="1219" w:customStyle="1">
    <w:name w:val="二级目录"/>
    <w:next w:val="776"/>
    <w:link w:val="121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0" w:customStyle="1">
    <w:name w:val="列出段落 Char"/>
    <w:link w:val="1221"/>
    <w:uiPriority w:val="0"/>
    <w:qFormat/>
    <w:rPr>
      <w:rFonts w:ascii="Calibri" w:hAnsi="Calibri"/>
      <w:sz w:val="24"/>
      <w:szCs w:val="24"/>
      <w:lang w:eastAsia="en-US" w:bidi="en-US"/>
    </w:rPr>
  </w:style>
  <w:style w:type="paragraph" w:styleId="1221" w:customStyle="1">
    <w:name w:val="列出段落1"/>
    <w:basedOn w:val="776"/>
    <w:link w:val="1220"/>
    <w:uiPriority w:val="0"/>
    <w:qFormat/>
    <w:pPr>
      <w:contextualSpacing/>
      <w:ind w:left="720"/>
      <w:jc w:val="left"/>
      <w:widowControl/>
    </w:pPr>
    <w:rPr>
      <w:sz w:val="24"/>
      <w:szCs w:val="24"/>
      <w:lang w:eastAsia="en-US" w:bidi="en-US"/>
    </w:rPr>
  </w:style>
  <w:style w:type="paragraph" w:styleId="1222" w:customStyle="1">
    <w:name w:val="Body Text(ch)"/>
    <w:basedOn w:val="776"/>
    <w:uiPriority w:val="0"/>
    <w:qFormat/>
    <w:pPr>
      <w:spacing w:after="120"/>
    </w:pPr>
    <w:rPr>
      <w:rFonts w:ascii="宋体" w:hAnsi="Arial"/>
      <w:bCs/>
      <w:iCs/>
      <w:szCs w:val="24"/>
    </w:rPr>
  </w:style>
  <w:style w:type="paragraph" w:styleId="1223"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4"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5" w:customStyle="1">
    <w:name w:val="Char"/>
    <w:basedOn w:val="776"/>
    <w:uiPriority w:val="0"/>
    <w:qFormat/>
    <w:pPr>
      <w:ind w:firstLine="200"/>
      <w:tabs>
        <w:tab w:val="left" w:pos="360" w:leader="none"/>
      </w:tabs>
    </w:pPr>
    <w:rPr>
      <w:rFonts w:ascii="Times New Roman" w:hAnsi="Times New Roman"/>
      <w:sz w:val="28"/>
      <w:szCs w:val="30"/>
    </w:rPr>
  </w:style>
  <w:style w:type="paragraph" w:styleId="1226" w:customStyle="1">
    <w:name w:val="Char1"/>
    <w:basedOn w:val="843"/>
    <w:uiPriority w:val="0"/>
    <w:qFormat/>
    <w:rPr>
      <w:rFonts w:ascii="Tahoma" w:hAnsi="Tahoma"/>
      <w:sz w:val="24"/>
      <w:szCs w:val="24"/>
    </w:rPr>
  </w:style>
  <w:style w:type="paragraph" w:styleId="1227" w:customStyle="1">
    <w:name w:val="table_lines"/>
    <w:basedOn w:val="776"/>
    <w:uiPriority w:val="0"/>
    <w:qFormat/>
    <w:pPr>
      <w:jc w:val="left"/>
      <w:widowControl/>
    </w:pPr>
    <w:rPr>
      <w:rFonts w:ascii="Times New Roman" w:hAnsi="Times New Roman"/>
      <w:sz w:val="20"/>
      <w:szCs w:val="20"/>
      <w:lang w:val="de-DE" w:eastAsia="de-DE"/>
    </w:rPr>
  </w:style>
  <w:style w:type="paragraph" w:styleId="122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9"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230" w:customStyle="1">
    <w:name w:val="Char Char Char Char"/>
    <w:basedOn w:val="843"/>
    <w:uiPriority w:val="0"/>
    <w:qFormat/>
    <w:pPr>
      <w:spacing w:line="360" w:lineRule="auto"/>
    </w:pPr>
    <w:rPr>
      <w:rFonts w:ascii="Tahoma" w:hAnsi="Tahoma"/>
      <w:sz w:val="24"/>
      <w:szCs w:val="24"/>
    </w:rPr>
  </w:style>
  <w:style w:type="paragraph" w:styleId="1231" w:customStyle="1">
    <w:name w:val="4"/>
    <w:basedOn w:val="776"/>
    <w:next w:val="878"/>
    <w:uiPriority w:val="0"/>
    <w:qFormat/>
    <w:pPr>
      <w:ind w:firstLine="420"/>
      <w:spacing w:line="360" w:lineRule="auto"/>
    </w:pPr>
    <w:rPr>
      <w:rFonts w:ascii="Times New Roman" w:hAnsi="Times New Roman"/>
      <w:color w:val="ff0000"/>
      <w:sz w:val="24"/>
      <w:szCs w:val="24"/>
    </w:rPr>
  </w:style>
  <w:style w:type="paragraph" w:styleId="1232"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233" w:customStyle="1">
    <w:name w:val="Char Char Char Char Char Char Char Char Char Char"/>
    <w:basedOn w:val="776"/>
    <w:uiPriority w:val="0"/>
    <w:qFormat/>
    <w:pPr>
      <w:spacing w:line="360" w:lineRule="auto"/>
    </w:pPr>
    <w:rPr>
      <w:rFonts w:ascii="Times New Roman" w:hAnsi="Times New Roman"/>
      <w:sz w:val="24"/>
      <w:szCs w:val="20"/>
    </w:rPr>
  </w:style>
  <w:style w:type="paragraph" w:styleId="1234" w:customStyle="1">
    <w:name w:val="样式1"/>
    <w:basedOn w:val="776"/>
    <w:uiPriority w:val="0"/>
    <w:qFormat/>
    <w:pPr>
      <w:numPr>
        <w:ilvl w:val="0"/>
        <w:numId w:val="2"/>
      </w:numPr>
      <w:tabs>
        <w:tab w:val="left" w:pos="709" w:leader="none"/>
      </w:tabs>
    </w:pPr>
    <w:rPr>
      <w:rFonts w:ascii="宋体" w:hAnsi="宋体"/>
      <w:szCs w:val="21"/>
    </w:rPr>
  </w:style>
  <w:style w:type="paragraph" w:styleId="1235"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236"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38" w:customStyle="1">
    <w:name w:val="标题3"/>
    <w:basedOn w:val="776"/>
    <w:next w:val="776"/>
    <w:uiPriority w:val="0"/>
    <w:qFormat/>
    <w:pPr>
      <w:ind w:firstLine="624"/>
      <w:spacing w:line="590" w:lineRule="atLeast"/>
    </w:pPr>
    <w:rPr>
      <w:rFonts w:ascii="方正黑体_GBK" w:hAnsi="Times New Roman" w:eastAsia="方正黑体_GBK"/>
      <w:sz w:val="32"/>
      <w:szCs w:val="32"/>
    </w:rPr>
  </w:style>
  <w:style w:type="paragraph" w:styleId="1239"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1"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242"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3" w:customStyle="1">
    <w:name w:val="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244"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245" w:customStyle="1">
    <w:name w:val="Char Char Char Char1"/>
    <w:basedOn w:val="843"/>
    <w:uiPriority w:val="0"/>
    <w:qFormat/>
    <w:pPr>
      <w:spacing w:line="360" w:lineRule="auto"/>
    </w:pPr>
    <w:rPr>
      <w:rFonts w:ascii="Tahoma" w:hAnsi="Tahoma"/>
      <w:sz w:val="24"/>
      <w:szCs w:val="24"/>
    </w:rPr>
  </w:style>
  <w:style w:type="paragraph" w:styleId="1246" w:customStyle="1">
    <w:name w:val="table_1stline"/>
    <w:basedOn w:val="776"/>
    <w:uiPriority w:val="0"/>
    <w:qFormat/>
    <w:pPr>
      <w:jc w:val="left"/>
      <w:spacing w:before="120"/>
      <w:widowControl/>
    </w:pPr>
    <w:rPr>
      <w:rFonts w:ascii="Times New Roman" w:hAnsi="Times New Roman"/>
      <w:bCs/>
      <w:sz w:val="20"/>
      <w:szCs w:val="20"/>
      <w:lang w:val="de-DE" w:eastAsia="de-DE"/>
    </w:rPr>
  </w:style>
  <w:style w:type="paragraph" w:styleId="1247"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248" w:customStyle="1">
    <w:name w:val="标题1"/>
    <w:basedOn w:val="776"/>
    <w:next w:val="77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4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0" w:customStyle="1">
    <w:name w:val="Table Normal"/>
    <w:uiPriority w:val="0"/>
    <w:qFormat/>
    <w:rPr>
      <w:lang w:val="en-US" w:eastAsia="zh-CN" w:bidi="ar-SA"/>
    </w:rPr>
    <w:tblPr/>
  </w:style>
  <w:style w:type="paragraph" w:styleId="1251" w:customStyle="1">
    <w:name w:val="正文文本12"/>
    <w:basedOn w:val="776"/>
    <w:uiPriority w:val="1"/>
    <w:qFormat/>
    <w:pPr>
      <w:ind w:left="120"/>
    </w:pPr>
    <w:rPr>
      <w:rFonts w:ascii="宋体" w:hAnsi="宋体" w:cs="宋体"/>
      <w:szCs w:val="21"/>
      <w:lang w:val="zh-CN" w:bidi="zh-CN"/>
    </w:rPr>
  </w:style>
  <w:style w:type="paragraph" w:styleId="1252" w:customStyle="1">
    <w:name w:val="首行缩进"/>
    <w:basedOn w:val="776"/>
    <w:uiPriority w:val="0"/>
    <w:qFormat/>
    <w:pPr>
      <w:ind w:firstLine="480"/>
    </w:pPr>
    <w:rPr>
      <w:rFonts w:ascii="Times New Roman" w:hAnsi="Times New Roman"/>
      <w:szCs w:val="21"/>
      <w:lang w:val="zh-CN"/>
    </w:rPr>
  </w:style>
  <w:style w:type="paragraph" w:styleId="1253" w:customStyle="1">
    <w:name w:val="部分1"/>
    <w:basedOn w:val="77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4" w:customStyle="1">
    <w:name w:val="15"/>
    <w:link w:val="776"/>
    <w:uiPriority w:val="0"/>
    <w:qFormat/>
    <w:rPr>
      <w:rFonts w:ascii="Times New Roman" w:hAnsi="Times New Roman" w:cs="Times New Roman"/>
    </w:rPr>
  </w:style>
  <w:style w:type="paragraph" w:styleId="1255" w:customStyle="1">
    <w:name w:val="正文文本缩进 2_0"/>
    <w:basedOn w:val="1091"/>
    <w:uiPriority w:val="0"/>
    <w:qFormat/>
    <w:pPr>
      <w:ind w:firstLine="720"/>
      <w:jc w:val="left"/>
      <w:spacing w:line="540" w:lineRule="exact"/>
    </w:pPr>
    <w:rPr>
      <w:rFonts w:ascii="仿宋_GB2312" w:hAnsi="仿宋_GB2312" w:cs="宋体"/>
      <w:sz w:val="32"/>
      <w:szCs w:val="32"/>
    </w:rPr>
  </w:style>
  <w:style w:type="character" w:styleId="1256" w:customStyle="1">
    <w:name w:val="10"/>
    <w:link w:val="776"/>
    <w:uiPriority w:val="0"/>
    <w:qFormat/>
    <w:rPr>
      <w:rFonts w:ascii="Times New Roman" w:hAnsi="Times New Roman" w:cs="Times New Roman"/>
    </w:rPr>
  </w:style>
  <w:style w:type="paragraph" w:styleId="1257" w:customStyle="1">
    <w:name w:val="正文_16_1"/>
    <w:basedOn w:val="776"/>
    <w:uiPriority w:val="0"/>
    <w:qFormat/>
    <w:rPr>
      <w:rFonts w:ascii="Times New Roman" w:hAnsi="Times New Roman"/>
      <w:szCs w:val="21"/>
    </w:rPr>
  </w:style>
  <w:style w:type="paragraph" w:styleId="1258" w:customStyle="1">
    <w:name w:val="页脚1"/>
    <w:basedOn w:val="776"/>
    <w:uiPriority w:val="0"/>
    <w:qFormat/>
    <w:pPr>
      <w:jc w:val="left"/>
      <w:tabs>
        <w:tab w:val="center" w:pos="4153" w:leader="none"/>
        <w:tab w:val="right" w:pos="8306" w:leader="none"/>
      </w:tabs>
    </w:pPr>
    <w:rPr>
      <w:sz w:val="18"/>
      <w:szCs w:val="18"/>
    </w:rPr>
  </w:style>
  <w:style w:type="character" w:styleId="1259" w:customStyle="1">
    <w:name w:val="页码1"/>
    <w:link w:val="776"/>
    <w:uiPriority w:val="0"/>
    <w:qFormat/>
  </w:style>
  <w:style w:type="paragraph" w:styleId="1260" w:customStyle="1">
    <w:name w:val="*正文"/>
    <w:basedOn w:val="815"/>
    <w:uiPriority w:val="0"/>
    <w:qFormat/>
    <w:pPr>
      <w:ind w:firstLine="200"/>
    </w:pPr>
    <w:rPr>
      <w:rFonts w:ascii="宋体" w:hAnsi="宋体"/>
      <w:color w:val="000000"/>
      <w:sz w:val="24"/>
      <w:szCs w:val="24"/>
    </w:rPr>
  </w:style>
  <w:style w:type="paragraph" w:styleId="1261" w:customStyle="1">
    <w:name w:val="*正文_0"/>
    <w:basedOn w:val="1262"/>
    <w:uiPriority w:val="0"/>
    <w:qFormat/>
    <w:pPr>
      <w:ind w:firstLine="200"/>
      <w:spacing w:line="360" w:lineRule="auto"/>
    </w:pPr>
    <w:rPr>
      <w:rFonts w:ascii="宋体" w:hAnsi="宋体" w:eastAsia="Arial" w:cs="Arial"/>
      <w:color w:val="000000"/>
      <w:sz w:val="24"/>
    </w:rPr>
  </w:style>
  <w:style w:type="paragraph" w:styleId="1262" w:customStyle="1">
    <w:name w:val="正文缩进_2"/>
    <w:basedOn w:val="1114"/>
    <w:uiPriority w:val="0"/>
    <w:unhideWhenUsed/>
    <w:qFormat/>
    <w:pPr>
      <w:ind w:firstLine="420"/>
      <w:jc w:val="left"/>
      <w:widowControl/>
    </w:pPr>
    <w:rPr>
      <w:rFonts w:ascii="Times New Roman" w:hAnsi="Times New Roman"/>
      <w:sz w:val="20"/>
      <w:szCs w:val="24"/>
    </w:rPr>
  </w:style>
  <w:style w:type="paragraph" w:styleId="1263" w:customStyle="1">
    <w:name w:val="*正文_0_0"/>
    <w:basedOn w:val="1114"/>
    <w:uiPriority w:val="0"/>
    <w:qFormat/>
    <w:pPr>
      <w:ind w:firstLine="200"/>
      <w:jc w:val="left"/>
      <w:spacing w:line="360" w:lineRule="auto"/>
      <w:widowControl/>
    </w:pPr>
    <w:rPr>
      <w:rFonts w:ascii="宋体" w:hAnsi="宋体" w:eastAsia="Arial" w:cs="Arial"/>
      <w:color w:val="000000"/>
      <w:sz w:val="24"/>
      <w:szCs w:val="24"/>
    </w:rPr>
  </w:style>
  <w:style w:type="paragraph" w:styleId="1264" w:customStyle="1">
    <w:name w:val="无间隔1_0_0"/>
    <w:basedOn w:val="1114"/>
    <w:uiPriority w:val="0"/>
    <w:qFormat/>
    <w:rPr>
      <w:rFonts w:ascii="Times New Roman" w:hAnsi="Times New Roman"/>
      <w:szCs w:val="21"/>
    </w:rPr>
  </w:style>
  <w:style w:type="paragraph" w:styleId="126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66" w:customStyle="1">
    <w:name w:val="标题 4_0"/>
    <w:basedOn w:val="1267"/>
    <w:next w:val="1267"/>
    <w:uiPriority w:val="9"/>
    <w:unhideWhenUsed/>
    <w:qFormat/>
    <w:pPr>
      <w:keepLines/>
      <w:keepNext/>
      <w:spacing w:before="280" w:after="290" w:line="372" w:lineRule="auto"/>
      <w:outlineLvl w:val="3"/>
    </w:pPr>
    <w:rPr>
      <w:rFonts w:ascii="Arial" w:hAnsi="Arial" w:eastAsia="黑体"/>
      <w:b/>
      <w:sz w:val="28"/>
    </w:rPr>
  </w:style>
  <w:style w:type="paragraph" w:styleId="1267" w:customStyle="1">
    <w:name w:val="正文4"/>
    <w:uiPriority w:val="0"/>
    <w:qFormat/>
    <w:pPr>
      <w:jc w:val="both"/>
      <w:widowControl w:val="off"/>
    </w:pPr>
    <w:rPr>
      <w:rFonts w:hint="default" w:ascii="Calibri" w:hAnsi="Calibri" w:eastAsia="宋体" w:cs="Times New Roman"/>
      <w:lang w:val="en-US" w:eastAsia="zh-CN" w:bidi="ar-SA"/>
    </w:rPr>
  </w:style>
  <w:style w:type="paragraph" w:styleId="126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69" w:customStyle="1">
    <w:name w:val="p17_0_0"/>
    <w:basedOn w:val="1157"/>
    <w:uiPriority w:val="0"/>
    <w:qFormat/>
    <w:pPr>
      <w:jc w:val="left"/>
      <w:spacing w:before="100" w:beforeAutospacing="1" w:after="100" w:afterAutospacing="1"/>
      <w:widowControl/>
    </w:pPr>
    <w:rPr>
      <w:rFonts w:ascii="宋体" w:hAnsi="宋体" w:eastAsia="Times New Roman" w:cs="宋体"/>
      <w:sz w:val="24"/>
      <w:szCs w:val="24"/>
    </w:rPr>
  </w:style>
  <w:style w:type="paragraph" w:styleId="1270" w:customStyle="1">
    <w:name w:val="p17_0"/>
    <w:basedOn w:val="818"/>
    <w:uiPriority w:val="0"/>
    <w:qFormat/>
    <w:pPr>
      <w:jc w:val="left"/>
      <w:spacing w:before="100" w:beforeAutospacing="1" w:after="100" w:afterAutospacing="1"/>
      <w:widowControl/>
    </w:pPr>
    <w:rPr>
      <w:rFonts w:ascii="宋体" w:hAnsi="宋体" w:eastAsia="Times New Roman" w:cs="宋体"/>
      <w:sz w:val="24"/>
      <w:szCs w:val="24"/>
    </w:rPr>
  </w:style>
  <w:style w:type="paragraph" w:styleId="1271" w:customStyle="1">
    <w:name w:val="普通(网站)11"/>
    <w:basedOn w:val="776"/>
    <w:uiPriority w:val="99"/>
    <w:qFormat/>
    <w:rPr>
      <w:sz w:val="24"/>
    </w:rPr>
  </w:style>
  <w:style w:type="paragraph" w:styleId="127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73" w:customStyle="1">
    <w:name w:val="二级小标题"/>
    <w:basedOn w:val="776"/>
    <w:uiPriority w:val="0"/>
    <w:qFormat/>
    <w:rPr>
      <w:rFonts w:hint="eastAsia"/>
      <w:b/>
      <w:bCs/>
    </w:rPr>
  </w:style>
  <w:style w:type="paragraph" w:styleId="1274" w:customStyle="1">
    <w:name w:val="正文文本4"/>
    <w:basedOn w:val="951"/>
    <w:uiPriority w:val="0"/>
    <w:qFormat/>
    <w:pPr>
      <w:spacing w:line="60" w:lineRule="auto"/>
    </w:pPr>
    <w:rPr>
      <w:rFonts w:ascii="仿宋_GB2312" w:eastAsia="仿宋_GB2312"/>
      <w:sz w:val="32"/>
      <w:szCs w:val="22"/>
    </w:rPr>
  </w:style>
  <w:style w:type="paragraph" w:styleId="1275" w:customStyle="1">
    <w:name w:val="标题二、"/>
    <w:basedOn w:val="776"/>
    <w:uiPriority w:val="99"/>
    <w:qFormat/>
    <w:pPr>
      <w:ind w:firstLine="200"/>
      <w:spacing w:line="360" w:lineRule="auto"/>
      <w:outlineLvl w:val="2"/>
    </w:pPr>
    <w:rPr>
      <w:rFonts w:ascii="宋体" w:hAnsi="宋体"/>
      <w:b/>
      <w:szCs w:val="21"/>
    </w:rPr>
  </w:style>
  <w:style w:type="numbering" w:styleId="12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屠贵敏</cp:lastModifiedBy>
  <cp:revision>14</cp:revision>
  <dcterms:created xsi:type="dcterms:W3CDTF">2023-07-23T13:07:00Z</dcterms:created>
  <dcterms:modified xsi:type="dcterms:W3CDTF">2026-08-07T08:19:44Z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eyJoZGlkIjoiZTIwMTY5ODIxZmUxZDYyNWMxZWQzMTI2ZWViMDlkNjkiLCJ1c2VySWQiOiI0NTY3MjY1ODEifQ==</vt:lpwstr>
  </property>
  <property fmtid="{D5CDD505-2E9C-101B-9397-08002B2CF9AE}" pid="3" name="KSOProductBuildVer">
    <vt:lpwstr>2052-12.1.0.26895</vt:lpwstr>
  </property>
  <property fmtid="{D5CDD505-2E9C-101B-9397-08002B2CF9AE}" pid="4" name="ICV">
    <vt:lpwstr>C52B9D5119B043328F3B9B1A35930F77_13</vt:lpwstr>
  </property>
</Properties>
</file>